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DTFtexttable"/>
        <w:tblW w:w="14457" w:type="dxa"/>
        <w:tblLook w:val="0620" w:firstRow="1" w:lastRow="0" w:firstColumn="0" w:lastColumn="0" w:noHBand="1" w:noVBand="1"/>
      </w:tblPr>
      <w:tblGrid>
        <w:gridCol w:w="1497"/>
        <w:gridCol w:w="1440"/>
        <w:gridCol w:w="3780"/>
        <w:gridCol w:w="7740"/>
      </w:tblGrid>
      <w:tr w:rsidR="005D0E36" w:rsidRPr="00830F87" w:rsidTr="00B24364">
        <w:trPr>
          <w:cnfStyle w:val="100000000000" w:firstRow="1" w:lastRow="0" w:firstColumn="0" w:lastColumn="0" w:oddVBand="0" w:evenVBand="0" w:oddHBand="0" w:evenHBand="0" w:firstRowFirstColumn="0" w:firstRowLastColumn="0" w:lastRowFirstColumn="0" w:lastRowLastColumn="0"/>
        </w:trPr>
        <w:tc>
          <w:tcPr>
            <w:tcW w:w="14457" w:type="dxa"/>
            <w:gridSpan w:val="4"/>
            <w:shd w:val="clear" w:color="auto" w:fill="000000" w:themeFill="text1"/>
          </w:tcPr>
          <w:p w:rsidR="005D0E36" w:rsidRPr="00E761F3" w:rsidRDefault="005D0E36" w:rsidP="005D0E36">
            <w:pPr>
              <w:pStyle w:val="Tableheader"/>
            </w:pPr>
            <w:bookmarkStart w:id="0" w:name="_GoBack"/>
            <w:bookmarkEnd w:id="0"/>
            <w:r w:rsidRPr="00E761F3">
              <w:t>Agreement for the s</w:t>
            </w:r>
            <w:r>
              <w:t>upply of Goods (One-off purchase and Multiple p</w:t>
            </w:r>
            <w:r w:rsidRPr="00E761F3">
              <w:t>urchase)</w:t>
            </w:r>
          </w:p>
        </w:tc>
      </w:tr>
      <w:tr w:rsidR="004F4B40" w:rsidRPr="004F4B40" w:rsidTr="00B24364">
        <w:tc>
          <w:tcPr>
            <w:tcW w:w="1497" w:type="dxa"/>
            <w:shd w:val="clear" w:color="auto" w:fill="BFBFBF" w:themeFill="background1" w:themeFillShade="BF"/>
          </w:tcPr>
          <w:p w:rsidR="005D0E36" w:rsidRPr="004F4B40" w:rsidRDefault="005D0E36" w:rsidP="005D0E36">
            <w:r w:rsidRPr="004F4B40">
              <w:t>Relevant clause (one-off purchase)</w:t>
            </w:r>
          </w:p>
        </w:tc>
        <w:tc>
          <w:tcPr>
            <w:tcW w:w="1440" w:type="dxa"/>
            <w:shd w:val="clear" w:color="auto" w:fill="BFBFBF" w:themeFill="background1" w:themeFillShade="BF"/>
          </w:tcPr>
          <w:p w:rsidR="005D0E36" w:rsidRPr="004F4B40" w:rsidRDefault="005D0E36" w:rsidP="005D0E36">
            <w:r w:rsidRPr="004F4B40">
              <w:t>Relevant clause (multiple purchase)</w:t>
            </w:r>
          </w:p>
        </w:tc>
        <w:tc>
          <w:tcPr>
            <w:tcW w:w="3780" w:type="dxa"/>
            <w:shd w:val="clear" w:color="auto" w:fill="BFBFBF" w:themeFill="background1" w:themeFillShade="BF"/>
          </w:tcPr>
          <w:p w:rsidR="005D0E36" w:rsidRPr="004F4B40" w:rsidRDefault="005D0E36" w:rsidP="005D0E36">
            <w:r w:rsidRPr="004F4B40">
              <w:t>Amendment/inclusion</w:t>
            </w:r>
          </w:p>
        </w:tc>
        <w:tc>
          <w:tcPr>
            <w:tcW w:w="7740" w:type="dxa"/>
            <w:shd w:val="clear" w:color="auto" w:fill="BFBFBF" w:themeFill="background1" w:themeFillShade="BF"/>
          </w:tcPr>
          <w:p w:rsidR="005D0E36" w:rsidRPr="004F4B40" w:rsidRDefault="005D0E36" w:rsidP="005D0E36">
            <w:r w:rsidRPr="004F4B40">
              <w:t>Reason for amendment/inclusion</w:t>
            </w:r>
          </w:p>
        </w:tc>
      </w:tr>
      <w:tr w:rsidR="005D0E36" w:rsidRPr="00830F87" w:rsidTr="004F4B40">
        <w:tc>
          <w:tcPr>
            <w:tcW w:w="14457" w:type="dxa"/>
            <w:gridSpan w:val="4"/>
            <w:shd w:val="clear" w:color="auto" w:fill="F2F2F2" w:themeFill="background1" w:themeFillShade="F2"/>
          </w:tcPr>
          <w:p w:rsidR="005D0E36" w:rsidRPr="00BC7848" w:rsidRDefault="005D0E36" w:rsidP="005D0E36">
            <w:pPr>
              <w:pStyle w:val="Heading4"/>
              <w:outlineLvl w:val="3"/>
            </w:pPr>
            <w:r>
              <w:t>Interpreting this Agreement</w:t>
            </w:r>
          </w:p>
        </w:tc>
      </w:tr>
      <w:tr w:rsidR="004F4B40" w:rsidRPr="00830F87" w:rsidTr="00254E96">
        <w:tc>
          <w:tcPr>
            <w:tcW w:w="1497" w:type="dxa"/>
          </w:tcPr>
          <w:p w:rsidR="005D0E36" w:rsidRPr="004B3582" w:rsidRDefault="005D0E36" w:rsidP="005D0E36">
            <w:r>
              <w:rPr>
                <w:rFonts w:hint="eastAsia"/>
              </w:rPr>
              <w:t>O</w:t>
            </w:r>
            <w:r>
              <w:t>rganisation’s title</w:t>
            </w:r>
          </w:p>
        </w:tc>
        <w:tc>
          <w:tcPr>
            <w:tcW w:w="1440" w:type="dxa"/>
          </w:tcPr>
          <w:p w:rsidR="005D0E36" w:rsidRPr="004B3582" w:rsidRDefault="005D0E36" w:rsidP="005D0E36">
            <w:r>
              <w:t>Organisation’s title</w:t>
            </w:r>
          </w:p>
        </w:tc>
        <w:tc>
          <w:tcPr>
            <w:tcW w:w="3780" w:type="dxa"/>
          </w:tcPr>
          <w:p w:rsidR="005D0E36" w:rsidRPr="004B3582" w:rsidRDefault="005D0E36" w:rsidP="005D0E36">
            <w:r>
              <w:rPr>
                <w:rFonts w:hint="eastAsia"/>
              </w:rPr>
              <w:t>R</w:t>
            </w:r>
            <w:r>
              <w:t>emoval of the ‘The State of Victoria through’ the Organisation.</w:t>
            </w:r>
          </w:p>
        </w:tc>
        <w:tc>
          <w:tcPr>
            <w:tcW w:w="7740" w:type="dxa"/>
          </w:tcPr>
          <w:p w:rsidR="005D0E36" w:rsidRPr="004B3582" w:rsidRDefault="005D0E36" w:rsidP="005D0E36">
            <w:r>
              <w:rPr>
                <w:rFonts w:hint="eastAsia"/>
              </w:rPr>
              <w:t>N</w:t>
            </w:r>
            <w:r>
              <w:t>ot all Organisations using the template Agreements will be legally considered to be part of the State (the Crown) and therefore will not be entering into the Agreement for and on behalf of the State.</w:t>
            </w:r>
          </w:p>
        </w:tc>
      </w:tr>
      <w:tr w:rsidR="004F4B40" w:rsidRPr="00830F87" w:rsidTr="00254E96">
        <w:tc>
          <w:tcPr>
            <w:tcW w:w="1497" w:type="dxa"/>
          </w:tcPr>
          <w:p w:rsidR="005D0E36" w:rsidRPr="004B3582" w:rsidRDefault="005D0E36" w:rsidP="005D0E36">
            <w:r>
              <w:t>1.1</w:t>
            </w:r>
          </w:p>
        </w:tc>
        <w:tc>
          <w:tcPr>
            <w:tcW w:w="1440" w:type="dxa"/>
          </w:tcPr>
          <w:p w:rsidR="005D0E36" w:rsidRPr="004B3582" w:rsidRDefault="005D0E36" w:rsidP="005D0E36">
            <w:r>
              <w:t>1.1</w:t>
            </w:r>
          </w:p>
        </w:tc>
        <w:tc>
          <w:tcPr>
            <w:tcW w:w="3780" w:type="dxa"/>
          </w:tcPr>
          <w:p w:rsidR="005D0E36" w:rsidRPr="004B3582" w:rsidRDefault="005D0E36" w:rsidP="005D0E36">
            <w:r>
              <w:t>New definition of the Australian Dispute Centre (ADC).</w:t>
            </w:r>
          </w:p>
        </w:tc>
        <w:tc>
          <w:tcPr>
            <w:tcW w:w="7740" w:type="dxa"/>
          </w:tcPr>
          <w:p w:rsidR="005D0E36" w:rsidRPr="004B3582" w:rsidRDefault="005D0E36" w:rsidP="005D0E36">
            <w:r>
              <w:rPr>
                <w:rFonts w:hint="eastAsia"/>
              </w:rPr>
              <w:t>T</w:t>
            </w:r>
            <w:r>
              <w:t xml:space="preserve">he Australian Dispute centre was previously the Australian Commercial Dispute Centre (ACDC). </w:t>
            </w:r>
            <w:r>
              <w:rPr>
                <w:rFonts w:hint="eastAsia"/>
              </w:rPr>
              <w:t>T</w:t>
            </w:r>
            <w:r>
              <w:t>he amendment is a necessary update.</w:t>
            </w:r>
          </w:p>
        </w:tc>
      </w:tr>
      <w:tr w:rsidR="00254E96" w:rsidRPr="00830F87" w:rsidTr="00254E96">
        <w:tc>
          <w:tcPr>
            <w:tcW w:w="1497" w:type="dxa"/>
          </w:tcPr>
          <w:p w:rsidR="005D0E36" w:rsidRDefault="005D0E36" w:rsidP="005D0E36">
            <w:r>
              <w:t>1.1</w:t>
            </w:r>
          </w:p>
        </w:tc>
        <w:tc>
          <w:tcPr>
            <w:tcW w:w="1440" w:type="dxa"/>
          </w:tcPr>
          <w:p w:rsidR="005D0E36" w:rsidRDefault="005D0E36" w:rsidP="005D0E36">
            <w:r>
              <w:t>1.1</w:t>
            </w:r>
          </w:p>
        </w:tc>
        <w:tc>
          <w:tcPr>
            <w:tcW w:w="3780" w:type="dxa"/>
          </w:tcPr>
          <w:p w:rsidR="005D0E36" w:rsidRDefault="005D0E36" w:rsidP="005D0E36">
            <w:r>
              <w:rPr>
                <w:rFonts w:hint="eastAsia"/>
              </w:rPr>
              <w:t>N</w:t>
            </w:r>
            <w:r>
              <w:t>ew definition of Commissioners.</w:t>
            </w:r>
          </w:p>
        </w:tc>
        <w:tc>
          <w:tcPr>
            <w:tcW w:w="7740" w:type="dxa"/>
          </w:tcPr>
          <w:p w:rsidR="005D0E36" w:rsidRDefault="005D0E36" w:rsidP="005D0E36">
            <w:r>
              <w:rPr>
                <w:rFonts w:hint="eastAsia"/>
              </w:rPr>
              <w:t>T</w:t>
            </w:r>
            <w:r>
              <w:t>he definition of Commissioners has been updated the reflect the introduction of the Office of the Victorian Information Commissioner (OVIC).</w:t>
            </w:r>
          </w:p>
          <w:p w:rsidR="005D0E36" w:rsidRPr="00B44D30" w:rsidRDefault="005D0E36" w:rsidP="005D0E36">
            <w:r>
              <w:rPr>
                <w:rFonts w:hint="eastAsia"/>
              </w:rPr>
              <w:t>T</w:t>
            </w:r>
            <w:r>
              <w:t xml:space="preserve">he </w:t>
            </w:r>
            <w:r w:rsidRPr="00B44D30">
              <w:rPr>
                <w:i/>
              </w:rPr>
              <w:t>Freedom of Information Amendment (Office of the Victorian Information Commissioner) Act 2017</w:t>
            </w:r>
            <w:r>
              <w:t xml:space="preserve"> amended the </w:t>
            </w:r>
            <w:r>
              <w:rPr>
                <w:i/>
              </w:rPr>
              <w:t xml:space="preserve">Freedom of Information Act 1982 </w:t>
            </w:r>
            <w:r>
              <w:t>(Vic) to establish OVIC (Part IA) which commenced operations on 1 S</w:t>
            </w:r>
            <w:r>
              <w:rPr>
                <w:rFonts w:hint="eastAsia"/>
              </w:rPr>
              <w:t>e</w:t>
            </w:r>
            <w:r>
              <w:t>ptember 2017. OVIC is responsible for freedom of information and privacy and data protection. OVIC consists of the Information Commissioner, P</w:t>
            </w:r>
            <w:r>
              <w:rPr>
                <w:rFonts w:hint="eastAsia"/>
              </w:rPr>
              <w:t>u</w:t>
            </w:r>
            <w:r>
              <w:t>blic Access Deputy Commissioner and Privacy and Data protection Deputy Commissioner (Commissioners).</w:t>
            </w:r>
          </w:p>
        </w:tc>
      </w:tr>
      <w:tr w:rsidR="004F4B40" w:rsidRPr="00830F87" w:rsidTr="00254E96">
        <w:tc>
          <w:tcPr>
            <w:tcW w:w="1497" w:type="dxa"/>
          </w:tcPr>
          <w:p w:rsidR="005D0E36" w:rsidRDefault="005D0E36" w:rsidP="005D0E36">
            <w:r>
              <w:t>1.1</w:t>
            </w:r>
          </w:p>
        </w:tc>
        <w:tc>
          <w:tcPr>
            <w:tcW w:w="1440" w:type="dxa"/>
          </w:tcPr>
          <w:p w:rsidR="005D0E36" w:rsidRDefault="005D0E36" w:rsidP="005D0E36">
            <w:r>
              <w:t>1.1</w:t>
            </w:r>
          </w:p>
        </w:tc>
        <w:tc>
          <w:tcPr>
            <w:tcW w:w="3780" w:type="dxa"/>
          </w:tcPr>
          <w:p w:rsidR="005D0E36" w:rsidRDefault="005D0E36" w:rsidP="005D0E36">
            <w:r>
              <w:t>Included a definition of Milestone and Milestone Date.</w:t>
            </w:r>
          </w:p>
        </w:tc>
        <w:tc>
          <w:tcPr>
            <w:tcW w:w="7740" w:type="dxa"/>
          </w:tcPr>
          <w:p w:rsidR="005D0E36" w:rsidRDefault="005D0E36" w:rsidP="005D0E36">
            <w:r>
              <w:rPr>
                <w:rFonts w:hint="eastAsia"/>
              </w:rPr>
              <w:t>T</w:t>
            </w:r>
            <w:r>
              <w:t>he parties may wish to build in Milestone and Milestone Dates for a Milestone for the supply of the Goods.</w:t>
            </w:r>
          </w:p>
        </w:tc>
      </w:tr>
      <w:tr w:rsidR="00254E96" w:rsidRPr="00830F87" w:rsidTr="00254E96">
        <w:trPr>
          <w:trHeight w:val="990"/>
        </w:trPr>
        <w:tc>
          <w:tcPr>
            <w:tcW w:w="1497" w:type="dxa"/>
          </w:tcPr>
          <w:p w:rsidR="005D0E36" w:rsidRDefault="005D0E36" w:rsidP="005D0E36">
            <w:r>
              <w:t>1.1</w:t>
            </w:r>
          </w:p>
        </w:tc>
        <w:tc>
          <w:tcPr>
            <w:tcW w:w="1440" w:type="dxa"/>
          </w:tcPr>
          <w:p w:rsidR="005D0E36" w:rsidRDefault="005D0E36" w:rsidP="005D0E36">
            <w:r>
              <w:t>1.1</w:t>
            </w:r>
          </w:p>
        </w:tc>
        <w:tc>
          <w:tcPr>
            <w:tcW w:w="3780" w:type="dxa"/>
          </w:tcPr>
          <w:p w:rsidR="005D0E36" w:rsidRPr="004D4F6A" w:rsidRDefault="005D0E36" w:rsidP="005D0E36">
            <w:r w:rsidRPr="004D4F6A">
              <w:t>Definition of Victorian Public Entity amended</w:t>
            </w:r>
            <w:r>
              <w:t>.</w:t>
            </w:r>
          </w:p>
        </w:tc>
        <w:tc>
          <w:tcPr>
            <w:tcW w:w="7740" w:type="dxa"/>
          </w:tcPr>
          <w:p w:rsidR="005D0E36" w:rsidRPr="004D4F6A" w:rsidRDefault="005D0E36" w:rsidP="005D0E36">
            <w:r w:rsidRPr="004D4F6A">
              <w:t>The previous definition of Victorian Public Entity included entities which "receives any funding from any of the entities" was too broad. It was amended to refer to entities which receive "the majority" of their fund</w:t>
            </w:r>
            <w:r>
              <w:t>ing from State entities (i.e. more than 50%).</w:t>
            </w:r>
          </w:p>
        </w:tc>
      </w:tr>
      <w:tr w:rsidR="004F4B40" w:rsidRPr="00830F87" w:rsidTr="00254E96">
        <w:tc>
          <w:tcPr>
            <w:tcW w:w="1497" w:type="dxa"/>
          </w:tcPr>
          <w:p w:rsidR="005D0E36" w:rsidRPr="004B3582" w:rsidRDefault="005D0E36" w:rsidP="005D0E36">
            <w:r>
              <w:t>1.2(f</w:t>
            </w:r>
            <w:r w:rsidRPr="004B3582">
              <w:t>) and (</w:t>
            </w:r>
            <w:r>
              <w:t>g</w:t>
            </w:r>
            <w:r w:rsidRPr="004B3582">
              <w:t>)</w:t>
            </w:r>
          </w:p>
        </w:tc>
        <w:tc>
          <w:tcPr>
            <w:tcW w:w="1440" w:type="dxa"/>
          </w:tcPr>
          <w:p w:rsidR="005D0E36" w:rsidRPr="004B3582" w:rsidRDefault="005D0E36" w:rsidP="005D0E36">
            <w:r>
              <w:t>1.2(f</w:t>
            </w:r>
            <w:r w:rsidRPr="004B3582">
              <w:t>) and (</w:t>
            </w:r>
            <w:r>
              <w:t>g</w:t>
            </w:r>
            <w:r w:rsidRPr="004B3582">
              <w:t>)</w:t>
            </w:r>
          </w:p>
        </w:tc>
        <w:tc>
          <w:tcPr>
            <w:tcW w:w="3780" w:type="dxa"/>
          </w:tcPr>
          <w:p w:rsidR="005D0E36" w:rsidRPr="004B3582" w:rsidRDefault="005D0E36" w:rsidP="005D0E36">
            <w:r>
              <w:t>New clauses included to provide</w:t>
            </w:r>
            <w:r w:rsidRPr="004B3582">
              <w:t xml:space="preserve"> </w:t>
            </w:r>
            <w:r>
              <w:t>for joint and several liability.</w:t>
            </w:r>
          </w:p>
        </w:tc>
        <w:tc>
          <w:tcPr>
            <w:tcW w:w="7740" w:type="dxa"/>
          </w:tcPr>
          <w:p w:rsidR="005D0E36" w:rsidRPr="004B3582" w:rsidRDefault="005D0E36" w:rsidP="005D0E36">
            <w:r w:rsidRPr="004B3582">
              <w:rPr>
                <w:lang w:val="en"/>
              </w:rPr>
              <w:t xml:space="preserve">New provision acknowledging </w:t>
            </w:r>
            <w:r>
              <w:rPr>
                <w:lang w:val="en"/>
              </w:rPr>
              <w:t>the supplier might comprise multiple entities.</w:t>
            </w:r>
            <w:r w:rsidRPr="004B3582">
              <w:rPr>
                <w:lang w:val="en"/>
              </w:rPr>
              <w:t xml:space="preserve"> </w:t>
            </w:r>
          </w:p>
        </w:tc>
      </w:tr>
      <w:tr w:rsidR="005D0E36" w:rsidRPr="00830F87" w:rsidTr="004F4B40">
        <w:tc>
          <w:tcPr>
            <w:tcW w:w="14457" w:type="dxa"/>
            <w:gridSpan w:val="4"/>
            <w:shd w:val="clear" w:color="auto" w:fill="F2F2F2" w:themeFill="background1" w:themeFillShade="F2"/>
          </w:tcPr>
          <w:p w:rsidR="005D0E36" w:rsidRPr="004B3582" w:rsidRDefault="005D0E36" w:rsidP="005D0E36">
            <w:pPr>
              <w:pStyle w:val="Heading4"/>
              <w:outlineLvl w:val="3"/>
              <w:rPr>
                <w:lang w:val="en"/>
              </w:rPr>
            </w:pPr>
            <w:r w:rsidRPr="004B3582">
              <w:rPr>
                <w:lang w:val="en"/>
              </w:rPr>
              <w:t>Requesting the Goods</w:t>
            </w:r>
          </w:p>
        </w:tc>
      </w:tr>
      <w:tr w:rsidR="004F4B40" w:rsidRPr="00830F87" w:rsidTr="00254E96">
        <w:tc>
          <w:tcPr>
            <w:tcW w:w="1497" w:type="dxa"/>
          </w:tcPr>
          <w:p w:rsidR="005D0E36" w:rsidRPr="004B3582" w:rsidRDefault="005D0E36" w:rsidP="005D0E36">
            <w:r>
              <w:t>N/A</w:t>
            </w:r>
          </w:p>
        </w:tc>
        <w:tc>
          <w:tcPr>
            <w:tcW w:w="1440" w:type="dxa"/>
          </w:tcPr>
          <w:p w:rsidR="005D0E36" w:rsidRPr="004B3582" w:rsidRDefault="005D0E36" w:rsidP="005D0E36">
            <w:r>
              <w:t>3.1</w:t>
            </w:r>
          </w:p>
        </w:tc>
        <w:tc>
          <w:tcPr>
            <w:tcW w:w="3780" w:type="dxa"/>
          </w:tcPr>
          <w:p w:rsidR="005D0E36" w:rsidRPr="004B3582" w:rsidRDefault="005D0E36" w:rsidP="005D0E36">
            <w:r>
              <w:t>Amended regime for ordering G</w:t>
            </w:r>
            <w:r>
              <w:rPr>
                <w:rFonts w:hint="eastAsia"/>
              </w:rPr>
              <w:t>o</w:t>
            </w:r>
            <w:r>
              <w:t>ods.</w:t>
            </w:r>
          </w:p>
        </w:tc>
        <w:tc>
          <w:tcPr>
            <w:tcW w:w="7740" w:type="dxa"/>
          </w:tcPr>
          <w:p w:rsidR="005D0E36" w:rsidRDefault="005D0E36" w:rsidP="005D0E36">
            <w:pPr>
              <w:rPr>
                <w:lang w:val="en"/>
              </w:rPr>
            </w:pPr>
            <w:r>
              <w:rPr>
                <w:rFonts w:hint="eastAsia"/>
                <w:lang w:val="en"/>
              </w:rPr>
              <w:t>F</w:t>
            </w:r>
            <w:r>
              <w:rPr>
                <w:lang w:val="en"/>
              </w:rPr>
              <w:t>or consistency, and in line with best procurement practices, a request for the supply of G</w:t>
            </w:r>
            <w:r>
              <w:rPr>
                <w:rFonts w:hint="eastAsia"/>
                <w:lang w:val="en"/>
              </w:rPr>
              <w:t>o</w:t>
            </w:r>
            <w:r>
              <w:rPr>
                <w:lang w:val="en"/>
              </w:rPr>
              <w:t xml:space="preserve">ods must made by issuing a Purchase Order in the form, or substantially the form, of Annexure A (as notified by the Organisation). </w:t>
            </w:r>
          </w:p>
          <w:p w:rsidR="005D0E36" w:rsidRPr="004B3582" w:rsidRDefault="005D0E36" w:rsidP="005D0E36">
            <w:pPr>
              <w:rPr>
                <w:lang w:val="en"/>
              </w:rPr>
            </w:pPr>
            <w:r>
              <w:rPr>
                <w:rFonts w:hint="eastAsia"/>
                <w:lang w:val="en"/>
              </w:rPr>
              <w:t>A request should not be made orally and paid with by Corporate Transaction Card.</w:t>
            </w:r>
          </w:p>
        </w:tc>
      </w:tr>
      <w:tr w:rsidR="00254E96" w:rsidRPr="00830F87" w:rsidTr="00254E96">
        <w:tc>
          <w:tcPr>
            <w:tcW w:w="1497" w:type="dxa"/>
          </w:tcPr>
          <w:p w:rsidR="005D0E36" w:rsidRDefault="005D0E36" w:rsidP="005D0E36">
            <w:r>
              <w:lastRenderedPageBreak/>
              <w:t>N/A</w:t>
            </w:r>
          </w:p>
        </w:tc>
        <w:tc>
          <w:tcPr>
            <w:tcW w:w="1440" w:type="dxa"/>
          </w:tcPr>
          <w:p w:rsidR="005D0E36" w:rsidRDefault="005D0E36" w:rsidP="005D0E36">
            <w:r>
              <w:t>3.2</w:t>
            </w:r>
          </w:p>
        </w:tc>
        <w:tc>
          <w:tcPr>
            <w:tcW w:w="3780" w:type="dxa"/>
          </w:tcPr>
          <w:p w:rsidR="005D0E36" w:rsidRDefault="005D0E36" w:rsidP="005D0E36">
            <w:r>
              <w:t>Updated information to be included in a Purchase O</w:t>
            </w:r>
            <w:r>
              <w:rPr>
                <w:rFonts w:hint="eastAsia"/>
              </w:rPr>
              <w:t>r</w:t>
            </w:r>
            <w:r>
              <w:t>der.</w:t>
            </w:r>
          </w:p>
        </w:tc>
        <w:tc>
          <w:tcPr>
            <w:tcW w:w="7740" w:type="dxa"/>
          </w:tcPr>
          <w:p w:rsidR="005D0E36" w:rsidRDefault="005D0E36" w:rsidP="005D0E36">
            <w:pPr>
              <w:rPr>
                <w:lang w:val="en"/>
              </w:rPr>
            </w:pPr>
            <w:r>
              <w:rPr>
                <w:lang w:val="en"/>
              </w:rPr>
              <w:t>A Purchase Order must specify the matters listed in clause 3.2 which includes the Purchase Price, Start Date, Completion Date, any applicable Milestones and Milestone Dates, any invoicing and/or notice requirements, and whether liquidated damages are applicable.</w:t>
            </w:r>
          </w:p>
        </w:tc>
      </w:tr>
      <w:tr w:rsidR="005D0E36" w:rsidRPr="00830F87" w:rsidTr="004F4B40">
        <w:tc>
          <w:tcPr>
            <w:tcW w:w="14457" w:type="dxa"/>
            <w:gridSpan w:val="4"/>
            <w:shd w:val="clear" w:color="auto" w:fill="F2F2F2" w:themeFill="background1" w:themeFillShade="F2"/>
          </w:tcPr>
          <w:p w:rsidR="005D0E36" w:rsidRPr="004B3582" w:rsidRDefault="005D0E36" w:rsidP="005D0E36">
            <w:pPr>
              <w:pStyle w:val="Heading4"/>
              <w:outlineLvl w:val="3"/>
              <w:rPr>
                <w:lang w:val="en"/>
              </w:rPr>
            </w:pPr>
            <w:r w:rsidRPr="004B3582">
              <w:rPr>
                <w:lang w:val="en"/>
              </w:rPr>
              <w:t>Supplying the Goods</w:t>
            </w:r>
          </w:p>
        </w:tc>
      </w:tr>
      <w:tr w:rsidR="00254E96" w:rsidRPr="00830F87" w:rsidTr="00254E96">
        <w:tc>
          <w:tcPr>
            <w:tcW w:w="1497" w:type="dxa"/>
          </w:tcPr>
          <w:p w:rsidR="005D0E36" w:rsidRPr="004B3582" w:rsidRDefault="005D0E36" w:rsidP="005D0E36">
            <w:r>
              <w:t>N/A</w:t>
            </w:r>
          </w:p>
        </w:tc>
        <w:tc>
          <w:tcPr>
            <w:tcW w:w="1440" w:type="dxa"/>
          </w:tcPr>
          <w:p w:rsidR="005D0E36" w:rsidRPr="004B3582" w:rsidRDefault="005D0E36" w:rsidP="005D0E36">
            <w:r>
              <w:t>5.1</w:t>
            </w:r>
          </w:p>
        </w:tc>
        <w:tc>
          <w:tcPr>
            <w:tcW w:w="3780" w:type="dxa"/>
          </w:tcPr>
          <w:p w:rsidR="005D0E36" w:rsidRPr="004B3582" w:rsidRDefault="005D0E36" w:rsidP="005D0E36">
            <w:r>
              <w:rPr>
                <w:rFonts w:hint="eastAsia"/>
              </w:rPr>
              <w:t>N</w:t>
            </w:r>
            <w:r>
              <w:t>ew clause outlining when Services start and end under a Purchase Order Contract.</w:t>
            </w:r>
          </w:p>
        </w:tc>
        <w:tc>
          <w:tcPr>
            <w:tcW w:w="7740" w:type="dxa"/>
          </w:tcPr>
          <w:p w:rsidR="005D0E36" w:rsidRPr="004B3582" w:rsidRDefault="005D0E36" w:rsidP="005D0E36">
            <w:pPr>
              <w:rPr>
                <w:lang w:val="en"/>
              </w:rPr>
            </w:pPr>
            <w:r>
              <w:rPr>
                <w:rFonts w:hint="eastAsia"/>
                <w:lang w:val="en"/>
              </w:rPr>
              <w:t>A</w:t>
            </w:r>
            <w:r>
              <w:rPr>
                <w:lang w:val="en"/>
              </w:rPr>
              <w:t>s the Agreement is a standing offer, this clause clarifies when a Supplier must start providing Services under a Purchase Order Contract (being the Start Date) until the completion of the S</w:t>
            </w:r>
            <w:r>
              <w:rPr>
                <w:rFonts w:hint="eastAsia"/>
                <w:lang w:val="en"/>
              </w:rPr>
              <w:t>e</w:t>
            </w:r>
            <w:r>
              <w:rPr>
                <w:lang w:val="en"/>
              </w:rPr>
              <w:t>rvices (whether this occurs on or before the Completion Date) or termination of the Purchase Order Contract (whichever occurs first).</w:t>
            </w:r>
          </w:p>
        </w:tc>
      </w:tr>
      <w:tr w:rsidR="004F4B40" w:rsidRPr="00830F87" w:rsidTr="00254E96">
        <w:tc>
          <w:tcPr>
            <w:tcW w:w="1497" w:type="dxa"/>
          </w:tcPr>
          <w:p w:rsidR="005D0E36" w:rsidRPr="004B3582" w:rsidRDefault="005D0E36" w:rsidP="005D0E36">
            <w:r>
              <w:t>3.1(a)(i)</w:t>
            </w:r>
          </w:p>
        </w:tc>
        <w:tc>
          <w:tcPr>
            <w:tcW w:w="1440" w:type="dxa"/>
          </w:tcPr>
          <w:p w:rsidR="005D0E36" w:rsidRPr="004B3582" w:rsidRDefault="005D0E36" w:rsidP="005D0E36">
            <w:r>
              <w:t>5.1(b)(i)</w:t>
            </w:r>
          </w:p>
        </w:tc>
        <w:tc>
          <w:tcPr>
            <w:tcW w:w="3780" w:type="dxa"/>
          </w:tcPr>
          <w:p w:rsidR="005D0E36" w:rsidRPr="004B3582" w:rsidRDefault="005D0E36" w:rsidP="005D0E36">
            <w:r w:rsidRPr="004B3582">
              <w:t>Amended so that the Supplier must supply the Goods in accordance with any reasonable directions given by the Organisation</w:t>
            </w:r>
            <w:r>
              <w:t>.</w:t>
            </w:r>
          </w:p>
        </w:tc>
        <w:tc>
          <w:tcPr>
            <w:tcW w:w="7740" w:type="dxa"/>
          </w:tcPr>
          <w:p w:rsidR="005D0E36" w:rsidRPr="004B3582" w:rsidRDefault="005D0E36" w:rsidP="005D0E36">
            <w:pPr>
              <w:rPr>
                <w:lang w:val="en"/>
              </w:rPr>
            </w:pPr>
            <w:r w:rsidRPr="004B3582">
              <w:t>It is reasonable for the Supplier to comply with the State's directions when supplying the Goods.</w:t>
            </w:r>
          </w:p>
        </w:tc>
      </w:tr>
      <w:tr w:rsidR="00254E96" w:rsidRPr="00830F87" w:rsidTr="00254E96">
        <w:tc>
          <w:tcPr>
            <w:tcW w:w="1497" w:type="dxa"/>
          </w:tcPr>
          <w:p w:rsidR="005D0E36" w:rsidRPr="004B3582" w:rsidRDefault="005D0E36" w:rsidP="005D0E36">
            <w:r>
              <w:t>3.2 and 3.5</w:t>
            </w:r>
          </w:p>
        </w:tc>
        <w:tc>
          <w:tcPr>
            <w:tcW w:w="1440" w:type="dxa"/>
          </w:tcPr>
          <w:p w:rsidR="005D0E36" w:rsidRPr="004B3582" w:rsidRDefault="005D0E36" w:rsidP="005D0E36">
            <w:r>
              <w:t>5.2 and 5.5</w:t>
            </w:r>
          </w:p>
        </w:tc>
        <w:tc>
          <w:tcPr>
            <w:tcW w:w="3780" w:type="dxa"/>
          </w:tcPr>
          <w:p w:rsidR="005D0E36" w:rsidRPr="004B3582" w:rsidRDefault="005D0E36" w:rsidP="005D0E36">
            <w:r w:rsidRPr="004B3582">
              <w:t>Acceptance procedure amended (</w:t>
            </w:r>
            <w:r>
              <w:t>one-off purchase</w:t>
            </w:r>
            <w:r w:rsidRPr="004B3582">
              <w:t>) and included (</w:t>
            </w:r>
            <w:r>
              <w:t>multiple purchase</w:t>
            </w:r>
            <w:r w:rsidRPr="004B3582">
              <w:t>)</w:t>
            </w:r>
            <w:r>
              <w:t>.</w:t>
            </w:r>
          </w:p>
        </w:tc>
        <w:tc>
          <w:tcPr>
            <w:tcW w:w="7740" w:type="dxa"/>
          </w:tcPr>
          <w:p w:rsidR="005D0E36" w:rsidRDefault="005D0E36" w:rsidP="005D0E36">
            <w:r>
              <w:t xml:space="preserve">If the Goods meet the standards required under this Agreement (including the Specifications), the Organisation should promptly notify the Supplier in writing of its acceptance. </w:t>
            </w:r>
          </w:p>
          <w:p w:rsidR="005D0E36" w:rsidRPr="00D10087" w:rsidRDefault="005D0E36" w:rsidP="005D0E36">
            <w:r>
              <w:rPr>
                <w:rFonts w:hint="eastAsia"/>
              </w:rPr>
              <w:t>I</w:t>
            </w:r>
            <w:r>
              <w:t>f the Organisation does not give written notification within 20 Business Days of delivery, acceptance of the Goods will be deemed to have occurred on the date of delivery.</w:t>
            </w:r>
          </w:p>
        </w:tc>
      </w:tr>
      <w:tr w:rsidR="004F4B40" w:rsidRPr="00830F87" w:rsidTr="00254E96">
        <w:tc>
          <w:tcPr>
            <w:tcW w:w="1497" w:type="dxa"/>
          </w:tcPr>
          <w:p w:rsidR="005D0E36" w:rsidRPr="004B3582" w:rsidRDefault="005D0E36" w:rsidP="005D0E36">
            <w:r>
              <w:t>3.4</w:t>
            </w:r>
          </w:p>
        </w:tc>
        <w:tc>
          <w:tcPr>
            <w:tcW w:w="1440" w:type="dxa"/>
          </w:tcPr>
          <w:p w:rsidR="005D0E36" w:rsidRPr="004B3582" w:rsidRDefault="005D0E36" w:rsidP="005D0E36">
            <w:r>
              <w:t>5.4</w:t>
            </w:r>
          </w:p>
        </w:tc>
        <w:tc>
          <w:tcPr>
            <w:tcW w:w="3780" w:type="dxa"/>
          </w:tcPr>
          <w:p w:rsidR="005D0E36" w:rsidRPr="004B3582" w:rsidRDefault="005D0E36" w:rsidP="005D0E36">
            <w:r w:rsidRPr="004B3582">
              <w:t>Clause amended (on</w:t>
            </w:r>
            <w:r>
              <w:t>e-off purchase) and inserted (</w:t>
            </w:r>
            <w:r w:rsidRPr="004B3582">
              <w:t>multiple purchase) to allow for testing of Goods before acceptance</w:t>
            </w:r>
            <w:r>
              <w:t>.</w:t>
            </w:r>
          </w:p>
        </w:tc>
        <w:tc>
          <w:tcPr>
            <w:tcW w:w="7740" w:type="dxa"/>
          </w:tcPr>
          <w:p w:rsidR="005D0E36" w:rsidRPr="004B3582" w:rsidRDefault="005D0E36" w:rsidP="005D0E36">
            <w:pPr>
              <w:rPr>
                <w:lang w:val="en"/>
              </w:rPr>
            </w:pPr>
            <w:r w:rsidRPr="004B3582">
              <w:t>Before accepting the Goods, the Organisation may test or examine the Goods to determine whether they meet the standards required under the Agreement</w:t>
            </w:r>
            <w:r>
              <w:t xml:space="preserve"> (including the Specifications).</w:t>
            </w:r>
          </w:p>
        </w:tc>
      </w:tr>
      <w:tr w:rsidR="00254E96" w:rsidRPr="00830F87" w:rsidTr="00254E96">
        <w:tc>
          <w:tcPr>
            <w:tcW w:w="1497" w:type="dxa"/>
          </w:tcPr>
          <w:p w:rsidR="005D0E36" w:rsidRDefault="005D0E36" w:rsidP="005D0E36">
            <w:r>
              <w:t>3.6</w:t>
            </w:r>
          </w:p>
        </w:tc>
        <w:tc>
          <w:tcPr>
            <w:tcW w:w="1440" w:type="dxa"/>
          </w:tcPr>
          <w:p w:rsidR="005D0E36" w:rsidRDefault="005D0E36" w:rsidP="005D0E36">
            <w:r>
              <w:t>5.6</w:t>
            </w:r>
          </w:p>
        </w:tc>
        <w:tc>
          <w:tcPr>
            <w:tcW w:w="3780" w:type="dxa"/>
          </w:tcPr>
          <w:p w:rsidR="005D0E36" w:rsidRPr="004B3582" w:rsidRDefault="005D0E36" w:rsidP="005D0E36">
            <w:r w:rsidRPr="004B3582">
              <w:t>A new clause included which allows the Organisation to reject Non-conforming Goods</w:t>
            </w:r>
            <w:r>
              <w:t>.</w:t>
            </w:r>
          </w:p>
        </w:tc>
        <w:tc>
          <w:tcPr>
            <w:tcW w:w="7740" w:type="dxa"/>
          </w:tcPr>
          <w:p w:rsidR="005D0E36" w:rsidRDefault="005D0E36" w:rsidP="005D0E36">
            <w:r>
              <w:t>The Organisation may reject any Goods that do not conform with the Agreement, any Purchase Order Contract (multiple purchase) or any Specifications, or are damaged, unfit for purpose and/or not of merchantable quality (</w:t>
            </w:r>
            <w:r>
              <w:rPr>
                <w:b/>
              </w:rPr>
              <w:t>Non-conforming Goods</w:t>
            </w:r>
            <w:r>
              <w:t xml:space="preserve">) by giving written notice, within 20 Business Days of delivery. </w:t>
            </w:r>
          </w:p>
          <w:p w:rsidR="005D0E36" w:rsidRDefault="005D0E36" w:rsidP="005D0E36">
            <w:r>
              <w:rPr>
                <w:rFonts w:hint="eastAsia"/>
              </w:rPr>
              <w:t>I</w:t>
            </w:r>
            <w:r>
              <w:t>f the Organisation does accept Goods and during the Warranty Period becomes aware that some or all of the Goods are Non-conforming Goods, it may still reject the Goods.</w:t>
            </w:r>
          </w:p>
          <w:p w:rsidR="005D0E36" w:rsidRPr="004B3582" w:rsidRDefault="005D0E36" w:rsidP="005D0E36">
            <w:r>
              <w:t>The Supplier must collect Non-conforming Goods from the Organisation and either replace them or refund the Organisation in respect of money paid for the Non-conforming Goods.</w:t>
            </w:r>
          </w:p>
        </w:tc>
      </w:tr>
      <w:tr w:rsidR="004F4B40" w:rsidRPr="00830F87" w:rsidTr="00254E96">
        <w:tc>
          <w:tcPr>
            <w:tcW w:w="1497" w:type="dxa"/>
          </w:tcPr>
          <w:p w:rsidR="005D0E36" w:rsidRDefault="005D0E36" w:rsidP="005D0E36">
            <w:r>
              <w:t>4.1</w:t>
            </w:r>
          </w:p>
        </w:tc>
        <w:tc>
          <w:tcPr>
            <w:tcW w:w="1440" w:type="dxa"/>
          </w:tcPr>
          <w:p w:rsidR="005D0E36" w:rsidRDefault="005D0E36" w:rsidP="005D0E36">
            <w:r>
              <w:t>6.1</w:t>
            </w:r>
          </w:p>
        </w:tc>
        <w:tc>
          <w:tcPr>
            <w:tcW w:w="3780" w:type="dxa"/>
          </w:tcPr>
          <w:p w:rsidR="005D0E36" w:rsidRPr="004B3582" w:rsidRDefault="005D0E36" w:rsidP="005D0E36">
            <w:r>
              <w:rPr>
                <w:rFonts w:hint="eastAsia"/>
              </w:rPr>
              <w:t>D</w:t>
            </w:r>
            <w:r>
              <w:t>elay and failure to perform clause expanded.</w:t>
            </w:r>
          </w:p>
        </w:tc>
        <w:tc>
          <w:tcPr>
            <w:tcW w:w="7740" w:type="dxa"/>
          </w:tcPr>
          <w:p w:rsidR="005D0E36" w:rsidRDefault="005D0E36" w:rsidP="005D0E36">
            <w:r>
              <w:rPr>
                <w:rFonts w:hint="eastAsia"/>
              </w:rPr>
              <w:t>F</w:t>
            </w:r>
            <w:r>
              <w:t>ollowing notification of any actual or possible delay in the supply of G</w:t>
            </w:r>
            <w:r>
              <w:rPr>
                <w:rFonts w:hint="eastAsia"/>
              </w:rPr>
              <w:t>o</w:t>
            </w:r>
            <w:r>
              <w:t xml:space="preserve">ods, including any failure to supply the Goods by the Time for Delivery or meet a Milestone by a Milestone Date, the Organisation may (in its absolute discretion) extend the Milestone Date or Completion Date. </w:t>
            </w:r>
          </w:p>
          <w:p w:rsidR="005D0E36" w:rsidRPr="004B3582" w:rsidRDefault="005D0E36" w:rsidP="005D0E36">
            <w:r>
              <w:rPr>
                <w:rFonts w:hint="eastAsia"/>
              </w:rPr>
              <w:t>I</w:t>
            </w:r>
            <w:r>
              <w:t>f the Supplier fails to deliver the Goods by the T</w:t>
            </w:r>
            <w:r>
              <w:rPr>
                <w:rFonts w:hint="eastAsia"/>
              </w:rPr>
              <w:t>i</w:t>
            </w:r>
            <w:r>
              <w:t>me for Delivery or meet a Milestone by the Milestone Date (or any revised Time for Delivery or Milestone Date), the Organisation may require the Supplier to pay liquidated damages (if the parties have agreed are applicable) or terminate the Agreement or relevant Purchase O</w:t>
            </w:r>
            <w:r>
              <w:rPr>
                <w:rFonts w:hint="eastAsia"/>
              </w:rPr>
              <w:t>r</w:t>
            </w:r>
            <w:r>
              <w:t>der Contract (multiple purchase).</w:t>
            </w:r>
          </w:p>
        </w:tc>
      </w:tr>
      <w:tr w:rsidR="00254E96" w:rsidRPr="00830F87" w:rsidTr="00254E96">
        <w:tc>
          <w:tcPr>
            <w:tcW w:w="1497" w:type="dxa"/>
          </w:tcPr>
          <w:p w:rsidR="005D0E36" w:rsidRDefault="005D0E36" w:rsidP="005D0E36">
            <w:r>
              <w:lastRenderedPageBreak/>
              <w:t>4.2</w:t>
            </w:r>
          </w:p>
        </w:tc>
        <w:tc>
          <w:tcPr>
            <w:tcW w:w="1440" w:type="dxa"/>
          </w:tcPr>
          <w:p w:rsidR="005D0E36" w:rsidRDefault="005D0E36" w:rsidP="005D0E36">
            <w:r>
              <w:t>6.2</w:t>
            </w:r>
          </w:p>
        </w:tc>
        <w:tc>
          <w:tcPr>
            <w:tcW w:w="3780" w:type="dxa"/>
          </w:tcPr>
          <w:p w:rsidR="005D0E36" w:rsidRPr="004B3582" w:rsidRDefault="005D0E36" w:rsidP="005D0E36">
            <w:r>
              <w:t>Liquidated damages provisions expanded.</w:t>
            </w:r>
          </w:p>
        </w:tc>
        <w:tc>
          <w:tcPr>
            <w:tcW w:w="7740" w:type="dxa"/>
          </w:tcPr>
          <w:p w:rsidR="005D0E36" w:rsidRPr="004B3582" w:rsidRDefault="005D0E36" w:rsidP="005D0E36">
            <w:r>
              <w:rPr>
                <w:rFonts w:hint="eastAsia"/>
              </w:rPr>
              <w:t>I</w:t>
            </w:r>
            <w:r>
              <w:t xml:space="preserve">f liquidated damages apply to the Agreement (one-off purchase) or Purchase Order Contracts (multiple purchase), the Organisation may recover an amount of money per day from the Supplier if the Supplier fails to provide the Goods by the Time for Delivery. </w:t>
            </w:r>
          </w:p>
        </w:tc>
      </w:tr>
      <w:tr w:rsidR="004F4B40" w:rsidRPr="00830F87" w:rsidTr="00254E96">
        <w:tc>
          <w:tcPr>
            <w:tcW w:w="1497" w:type="dxa"/>
          </w:tcPr>
          <w:p w:rsidR="005D0E36" w:rsidRDefault="005D0E36" w:rsidP="005D0E36">
            <w:r>
              <w:t>5</w:t>
            </w:r>
          </w:p>
        </w:tc>
        <w:tc>
          <w:tcPr>
            <w:tcW w:w="1440" w:type="dxa"/>
          </w:tcPr>
          <w:p w:rsidR="005D0E36" w:rsidRDefault="005D0E36" w:rsidP="005D0E36">
            <w:r>
              <w:t>7</w:t>
            </w:r>
          </w:p>
        </w:tc>
        <w:tc>
          <w:tcPr>
            <w:tcW w:w="3780" w:type="dxa"/>
          </w:tcPr>
          <w:p w:rsidR="005D0E36" w:rsidRDefault="005D0E36" w:rsidP="005D0E36">
            <w:r>
              <w:t>New clause inserted dealing with a variation to the types of Goods or Service L</w:t>
            </w:r>
            <w:r>
              <w:rPr>
                <w:rFonts w:hint="eastAsia"/>
              </w:rPr>
              <w:t>e</w:t>
            </w:r>
            <w:r>
              <w:t>vel Requirements.</w:t>
            </w:r>
          </w:p>
        </w:tc>
        <w:tc>
          <w:tcPr>
            <w:tcW w:w="7740" w:type="dxa"/>
          </w:tcPr>
          <w:p w:rsidR="005D0E36" w:rsidRDefault="005D0E36" w:rsidP="005D0E36">
            <w:r>
              <w:t>If either party seeks to vary the types of Goods provided under the Agreement or the S</w:t>
            </w:r>
            <w:r>
              <w:rPr>
                <w:rFonts w:hint="eastAsia"/>
              </w:rPr>
              <w:t>e</w:t>
            </w:r>
            <w:r>
              <w:t>rvice L</w:t>
            </w:r>
            <w:r>
              <w:rPr>
                <w:rFonts w:hint="eastAsia"/>
              </w:rPr>
              <w:t>e</w:t>
            </w:r>
            <w:r>
              <w:t>vel Requirements, the Supplier must provide a written proposal to the Organisation outlining the Unit Price that would apply and detailing any other impacts the change will have on the Supplier’s ability to perform its obligations under the Agreement. Unless and/or until the Organisation accepts the proposal, the Goods must be provided in accordance with the Agreement without variation.</w:t>
            </w:r>
          </w:p>
        </w:tc>
      </w:tr>
      <w:tr w:rsidR="004F4B40" w:rsidRPr="00830F87" w:rsidTr="00254E96">
        <w:tc>
          <w:tcPr>
            <w:tcW w:w="1497" w:type="dxa"/>
          </w:tcPr>
          <w:p w:rsidR="005D0E36" w:rsidRDefault="005D0E36" w:rsidP="005D0E36">
            <w:r>
              <w:t>6.2(d)</w:t>
            </w:r>
          </w:p>
        </w:tc>
        <w:tc>
          <w:tcPr>
            <w:tcW w:w="1440" w:type="dxa"/>
          </w:tcPr>
          <w:p w:rsidR="005D0E36" w:rsidRDefault="005D0E36" w:rsidP="005D0E36">
            <w:r>
              <w:t>8.2(d)</w:t>
            </w:r>
          </w:p>
        </w:tc>
        <w:tc>
          <w:tcPr>
            <w:tcW w:w="3780" w:type="dxa"/>
          </w:tcPr>
          <w:p w:rsidR="005D0E36" w:rsidRDefault="005D0E36" w:rsidP="005D0E36">
            <w:r w:rsidRPr="004B3582">
              <w:t>A new clause has been inserted which requires the Supplier to comply with any lawful directions of the Organisation or its Personnel</w:t>
            </w:r>
            <w:r>
              <w:t>.</w:t>
            </w:r>
          </w:p>
        </w:tc>
        <w:tc>
          <w:tcPr>
            <w:tcW w:w="7740" w:type="dxa"/>
          </w:tcPr>
          <w:p w:rsidR="005D0E36" w:rsidRDefault="005D0E36" w:rsidP="005D0E36">
            <w:r w:rsidRPr="004B3582">
              <w:t>It is reasonable for the Supplier to comply with the State's directions when on the premises of the Organisation.</w:t>
            </w:r>
          </w:p>
        </w:tc>
      </w:tr>
      <w:tr w:rsidR="004F4B40" w:rsidRPr="00830F87" w:rsidTr="00254E96">
        <w:tc>
          <w:tcPr>
            <w:tcW w:w="1497" w:type="dxa"/>
          </w:tcPr>
          <w:p w:rsidR="005D0E36" w:rsidRDefault="005D0E36" w:rsidP="005D0E36">
            <w:r>
              <w:t>N/A</w:t>
            </w:r>
          </w:p>
        </w:tc>
        <w:tc>
          <w:tcPr>
            <w:tcW w:w="1440" w:type="dxa"/>
          </w:tcPr>
          <w:p w:rsidR="005D0E36" w:rsidRDefault="005D0E36" w:rsidP="005D0E36">
            <w:r>
              <w:t>9.2</w:t>
            </w:r>
          </w:p>
        </w:tc>
        <w:tc>
          <w:tcPr>
            <w:tcW w:w="3780" w:type="dxa"/>
          </w:tcPr>
          <w:p w:rsidR="005D0E36" w:rsidRDefault="005D0E36" w:rsidP="005D0E36">
            <w:r w:rsidRPr="004B3582">
              <w:t>New clause inserted detailing the process for variations to the Specifications</w:t>
            </w:r>
            <w:r>
              <w:t>.</w:t>
            </w:r>
          </w:p>
        </w:tc>
        <w:tc>
          <w:tcPr>
            <w:tcW w:w="7740" w:type="dxa"/>
          </w:tcPr>
          <w:p w:rsidR="005D0E36" w:rsidRDefault="005D0E36" w:rsidP="005D0E36">
            <w:r w:rsidRPr="004B3582">
              <w:t>Under this clause, only the Organisation may propose a variation to the Supplier. The Supplier must provide the Organisation with a written proposal within 5 Business Days if there will be a variation in the Unit Price. The Organisation may accept the proposal by giving written notice to the Supplier.</w:t>
            </w:r>
            <w:r>
              <w:t xml:space="preserve"> </w:t>
            </w:r>
            <w:r>
              <w:rPr>
                <w:rFonts w:hint="eastAsia"/>
              </w:rPr>
              <w:t>I</w:t>
            </w:r>
            <w:r>
              <w:t>n the absence of such acceptance, the Goods must be supplied in accordance with the Agreement without any variation.</w:t>
            </w:r>
          </w:p>
        </w:tc>
      </w:tr>
      <w:tr w:rsidR="005D0E36" w:rsidRPr="00830F87" w:rsidTr="004F4B40">
        <w:tc>
          <w:tcPr>
            <w:tcW w:w="14457" w:type="dxa"/>
            <w:gridSpan w:val="4"/>
            <w:shd w:val="clear" w:color="auto" w:fill="F2F2F2" w:themeFill="background1" w:themeFillShade="F2"/>
          </w:tcPr>
          <w:p w:rsidR="005D0E36" w:rsidRPr="004B3582" w:rsidRDefault="005D0E36" w:rsidP="005D0E36">
            <w:pPr>
              <w:pStyle w:val="Heading4"/>
              <w:outlineLvl w:val="3"/>
              <w:rPr>
                <w:lang w:val="en"/>
              </w:rPr>
            </w:pPr>
            <w:r w:rsidRPr="004B3582">
              <w:rPr>
                <w:lang w:val="en"/>
              </w:rPr>
              <w:t>Pricing and payments</w:t>
            </w:r>
          </w:p>
        </w:tc>
      </w:tr>
      <w:tr w:rsidR="004F4B40" w:rsidRPr="00830F87" w:rsidTr="00254E96">
        <w:tc>
          <w:tcPr>
            <w:tcW w:w="1497" w:type="dxa"/>
          </w:tcPr>
          <w:p w:rsidR="005D0E36" w:rsidRPr="004B3582" w:rsidRDefault="005D0E36" w:rsidP="005D0E36">
            <w:r>
              <w:t>9.3</w:t>
            </w:r>
          </w:p>
        </w:tc>
        <w:tc>
          <w:tcPr>
            <w:tcW w:w="1440" w:type="dxa"/>
          </w:tcPr>
          <w:p w:rsidR="005D0E36" w:rsidRPr="004B3582" w:rsidRDefault="005D0E36" w:rsidP="005D0E36">
            <w:r>
              <w:t>11.3</w:t>
            </w:r>
          </w:p>
        </w:tc>
        <w:tc>
          <w:tcPr>
            <w:tcW w:w="3780" w:type="dxa"/>
          </w:tcPr>
          <w:p w:rsidR="005D0E36" w:rsidRPr="004B3582" w:rsidRDefault="005D0E36" w:rsidP="005D0E36">
            <w:r w:rsidRPr="004B3582">
              <w:t>The GST clause has been amended to be reciprocal</w:t>
            </w:r>
            <w:r>
              <w:t>.</w:t>
            </w:r>
          </w:p>
        </w:tc>
        <w:tc>
          <w:tcPr>
            <w:tcW w:w="7740" w:type="dxa"/>
          </w:tcPr>
          <w:p w:rsidR="005D0E36" w:rsidRPr="004B3582" w:rsidRDefault="005D0E36" w:rsidP="005D0E36">
            <w:r w:rsidRPr="004B3582">
              <w:t xml:space="preserve">Previously, the GST clause only allowed the Supplier to charge GST to the Organisation.  </w:t>
            </w:r>
          </w:p>
          <w:p w:rsidR="005D0E36" w:rsidRPr="004B3582" w:rsidRDefault="005D0E36" w:rsidP="005D0E36">
            <w:pPr>
              <w:rPr>
                <w:lang w:val="en"/>
              </w:rPr>
            </w:pPr>
            <w:r w:rsidRPr="004B3582">
              <w:t>The clause has been updated so that it operates on a reciprocal basis and also allows the Organisation to charge GST to the Supplier, if applicable.  Reciprocal clauses are standard and it is not uncommon for parties to commercial agreements to make taxable supplies to each other. </w:t>
            </w:r>
          </w:p>
        </w:tc>
      </w:tr>
      <w:tr w:rsidR="004F4B40" w:rsidRPr="00830F87" w:rsidTr="00254E96">
        <w:tc>
          <w:tcPr>
            <w:tcW w:w="1497" w:type="dxa"/>
          </w:tcPr>
          <w:p w:rsidR="005D0E36" w:rsidRPr="004B3582" w:rsidRDefault="005D0E36" w:rsidP="005D0E36">
            <w:r>
              <w:t>9</w:t>
            </w:r>
            <w:r w:rsidRPr="004B3582">
              <w:t>.5</w:t>
            </w:r>
          </w:p>
        </w:tc>
        <w:tc>
          <w:tcPr>
            <w:tcW w:w="1440" w:type="dxa"/>
          </w:tcPr>
          <w:p w:rsidR="005D0E36" w:rsidRPr="004B3582" w:rsidRDefault="005D0E36" w:rsidP="005D0E36">
            <w:r>
              <w:t>11</w:t>
            </w:r>
            <w:r w:rsidRPr="004B3582">
              <w:t>.5</w:t>
            </w:r>
          </w:p>
        </w:tc>
        <w:tc>
          <w:tcPr>
            <w:tcW w:w="3780" w:type="dxa"/>
          </w:tcPr>
          <w:p w:rsidR="005D0E36" w:rsidRPr="004B3582" w:rsidRDefault="005D0E36" w:rsidP="005D0E36">
            <w:r w:rsidRPr="004B3582">
              <w:t>Additional GST provisions relating to "adjustment events" have been included</w:t>
            </w:r>
            <w:r>
              <w:t>.</w:t>
            </w:r>
          </w:p>
        </w:tc>
        <w:tc>
          <w:tcPr>
            <w:tcW w:w="7740" w:type="dxa"/>
          </w:tcPr>
          <w:p w:rsidR="005D0E36" w:rsidRPr="004B3582" w:rsidRDefault="005D0E36" w:rsidP="005D0E36">
            <w:r w:rsidRPr="004B3582">
              <w:t xml:space="preserve">Adjustment events are events that change the GST position of the parties.  </w:t>
            </w:r>
          </w:p>
          <w:p w:rsidR="005D0E36" w:rsidRPr="004B3582" w:rsidRDefault="005D0E36" w:rsidP="005D0E36">
            <w:r w:rsidRPr="004B3582">
              <w:t>For example, if a Supplier delivers goods or services that are defective for $1,100 (including $100 GST), and a refund of $200 becomes due and payable, the refund will be an "adjustment event".  In this scenario, the Organisation should also receive a refund of $20 for the GST previously paid.</w:t>
            </w:r>
          </w:p>
        </w:tc>
      </w:tr>
      <w:tr w:rsidR="004F4B40" w:rsidRPr="00830F87" w:rsidTr="00254E96">
        <w:tc>
          <w:tcPr>
            <w:tcW w:w="1497" w:type="dxa"/>
          </w:tcPr>
          <w:p w:rsidR="005D0E36" w:rsidRPr="004B3582" w:rsidRDefault="005D0E36" w:rsidP="005D0E36">
            <w:r>
              <w:t>9</w:t>
            </w:r>
            <w:r w:rsidRPr="004B3582">
              <w:t>.6</w:t>
            </w:r>
          </w:p>
        </w:tc>
        <w:tc>
          <w:tcPr>
            <w:tcW w:w="1440" w:type="dxa"/>
          </w:tcPr>
          <w:p w:rsidR="005D0E36" w:rsidRPr="004B3582" w:rsidRDefault="005D0E36" w:rsidP="005D0E36">
            <w:r>
              <w:t>11</w:t>
            </w:r>
            <w:r w:rsidRPr="004B3582">
              <w:t>.6</w:t>
            </w:r>
          </w:p>
        </w:tc>
        <w:tc>
          <w:tcPr>
            <w:tcW w:w="3780" w:type="dxa"/>
          </w:tcPr>
          <w:p w:rsidR="005D0E36" w:rsidRPr="004B3582" w:rsidRDefault="005D0E36" w:rsidP="005D0E36">
            <w:r w:rsidRPr="004B3582">
              <w:t>A new clause has been included regarding the impact of any increase in GST on standard price indices</w:t>
            </w:r>
            <w:r>
              <w:t>.</w:t>
            </w:r>
          </w:p>
        </w:tc>
        <w:tc>
          <w:tcPr>
            <w:tcW w:w="7740" w:type="dxa"/>
          </w:tcPr>
          <w:p w:rsidR="005D0E36" w:rsidRPr="004B3582" w:rsidRDefault="005D0E36" w:rsidP="005D0E36">
            <w:r w:rsidRPr="004B3582">
              <w:t>As the Agreement contains an option for the parties to agree a price review mechanism, the language in this clause seeks to ensure that, if the rate of GST increases, such increase will be discounted for the purpose of applying the agreed price index.</w:t>
            </w:r>
          </w:p>
          <w:p w:rsidR="005D0E36" w:rsidRPr="004B3582" w:rsidRDefault="005D0E36" w:rsidP="005D0E36">
            <w:r w:rsidRPr="004B3582">
              <w:t>For example, if the parties agree to review the Unit Prices and/or Purchase Price by reference to CPI, an increase in GST may lead to a disproportionate increase in the CPI, which will inflate the cost of the Goods for the State.</w:t>
            </w:r>
          </w:p>
        </w:tc>
      </w:tr>
      <w:tr w:rsidR="004F4B40" w:rsidRPr="00830F87" w:rsidTr="00254E96">
        <w:tc>
          <w:tcPr>
            <w:tcW w:w="1497" w:type="dxa"/>
          </w:tcPr>
          <w:p w:rsidR="005D0E36" w:rsidRPr="004B3582" w:rsidRDefault="005D0E36" w:rsidP="005D0E36">
            <w:r>
              <w:lastRenderedPageBreak/>
              <w:t>9</w:t>
            </w:r>
            <w:r w:rsidRPr="004B3582">
              <w:t>.7</w:t>
            </w:r>
          </w:p>
        </w:tc>
        <w:tc>
          <w:tcPr>
            <w:tcW w:w="1440" w:type="dxa"/>
          </w:tcPr>
          <w:p w:rsidR="005D0E36" w:rsidRPr="004B3582" w:rsidRDefault="005D0E36" w:rsidP="005D0E36">
            <w:r>
              <w:t>11</w:t>
            </w:r>
            <w:r w:rsidRPr="004B3582">
              <w:t>.7</w:t>
            </w:r>
          </w:p>
        </w:tc>
        <w:tc>
          <w:tcPr>
            <w:tcW w:w="3780" w:type="dxa"/>
          </w:tcPr>
          <w:p w:rsidR="005D0E36" w:rsidRPr="004B3582" w:rsidRDefault="005D0E36" w:rsidP="005D0E36">
            <w:r w:rsidRPr="004B3582">
              <w:t>A new clause has been included which states that the Supplier is responsible for payment of all other taxes and duties (ex</w:t>
            </w:r>
            <w:r>
              <w:t>cep</w:t>
            </w:r>
            <w:r w:rsidRPr="004B3582">
              <w:t>t as specified elsewhere in the Agreement).</w:t>
            </w:r>
          </w:p>
        </w:tc>
        <w:tc>
          <w:tcPr>
            <w:tcW w:w="7740" w:type="dxa"/>
          </w:tcPr>
          <w:p w:rsidR="005D0E36" w:rsidRPr="004B3582" w:rsidRDefault="005D0E36" w:rsidP="005D0E36">
            <w:r w:rsidRPr="004B3582">
              <w:t>This includes any n</w:t>
            </w:r>
            <w:r>
              <w:t>ew taxes introduced during the T</w:t>
            </w:r>
            <w:r w:rsidRPr="004B3582">
              <w:t xml:space="preserve">erm of </w:t>
            </w:r>
            <w:r>
              <w:t>the Agreement.</w:t>
            </w:r>
            <w:r w:rsidRPr="004B3582">
              <w:t xml:space="preserve"> </w:t>
            </w:r>
          </w:p>
        </w:tc>
      </w:tr>
      <w:tr w:rsidR="004F4B40" w:rsidRPr="00830F87" w:rsidTr="00254E96">
        <w:tc>
          <w:tcPr>
            <w:tcW w:w="1497" w:type="dxa"/>
          </w:tcPr>
          <w:p w:rsidR="005D0E36" w:rsidRPr="004B3582" w:rsidRDefault="005D0E36" w:rsidP="005D0E36">
            <w:r>
              <w:t>10</w:t>
            </w:r>
            <w:r w:rsidRPr="004B3582">
              <w:t>.1(a)</w:t>
            </w:r>
          </w:p>
        </w:tc>
        <w:tc>
          <w:tcPr>
            <w:tcW w:w="1440" w:type="dxa"/>
          </w:tcPr>
          <w:p w:rsidR="005D0E36" w:rsidRPr="004B3582" w:rsidRDefault="005D0E36" w:rsidP="005D0E36">
            <w:r>
              <w:t>12</w:t>
            </w:r>
            <w:r w:rsidRPr="004B3582">
              <w:t>.1(a)</w:t>
            </w:r>
          </w:p>
        </w:tc>
        <w:tc>
          <w:tcPr>
            <w:tcW w:w="3780" w:type="dxa"/>
          </w:tcPr>
          <w:p w:rsidR="005D0E36" w:rsidRPr="004B3582" w:rsidRDefault="005D0E36" w:rsidP="005D0E36">
            <w:r w:rsidRPr="004B3582">
              <w:t>Payment is linked to acceptance</w:t>
            </w:r>
            <w:r>
              <w:t>.</w:t>
            </w:r>
          </w:p>
        </w:tc>
        <w:tc>
          <w:tcPr>
            <w:tcW w:w="7740" w:type="dxa"/>
          </w:tcPr>
          <w:p w:rsidR="005D0E36" w:rsidRPr="004B3582" w:rsidRDefault="005D0E36" w:rsidP="005D0E36">
            <w:r w:rsidRPr="004B3582">
              <w:t xml:space="preserve">The Supplier must invoice the Organisation following the Organisation's acceptance of the relevant Goods. This is subject to any alternative </w:t>
            </w:r>
            <w:r>
              <w:t xml:space="preserve">invoicing arrangement </w:t>
            </w:r>
            <w:r w:rsidRPr="004B3582">
              <w:t>identified in Schedule 2.</w:t>
            </w:r>
          </w:p>
        </w:tc>
      </w:tr>
      <w:tr w:rsidR="004F4B40" w:rsidRPr="00830F87" w:rsidTr="00254E96">
        <w:tc>
          <w:tcPr>
            <w:tcW w:w="1497" w:type="dxa"/>
          </w:tcPr>
          <w:p w:rsidR="005D0E36" w:rsidRPr="004B3582" w:rsidRDefault="005D0E36" w:rsidP="005D0E36">
            <w:r>
              <w:t>10</w:t>
            </w:r>
            <w:r w:rsidRPr="004B3582">
              <w:t>.2(c)</w:t>
            </w:r>
          </w:p>
        </w:tc>
        <w:tc>
          <w:tcPr>
            <w:tcW w:w="1440" w:type="dxa"/>
          </w:tcPr>
          <w:p w:rsidR="005D0E36" w:rsidRPr="004B3582" w:rsidRDefault="005D0E36" w:rsidP="005D0E36">
            <w:r>
              <w:t>12</w:t>
            </w:r>
            <w:r w:rsidRPr="004B3582">
              <w:t>.2(c)</w:t>
            </w:r>
          </w:p>
        </w:tc>
        <w:tc>
          <w:tcPr>
            <w:tcW w:w="3780" w:type="dxa"/>
          </w:tcPr>
          <w:p w:rsidR="005D0E36" w:rsidRPr="004B3582" w:rsidRDefault="005D0E36" w:rsidP="005D0E36">
            <w:r w:rsidRPr="004B3582">
              <w:t>If requested, the Supplier will withdraw the disputed invoice and issue a replacement invoice for the undisputed amount.</w:t>
            </w:r>
          </w:p>
        </w:tc>
        <w:tc>
          <w:tcPr>
            <w:tcW w:w="7740" w:type="dxa"/>
          </w:tcPr>
          <w:p w:rsidR="005D0E36" w:rsidRPr="004B3582" w:rsidRDefault="005D0E36" w:rsidP="005D0E36">
            <w:r w:rsidRPr="004B3582">
              <w:t>Allows the Organisation to pay any undisputed amount owing under the invoice and prevents non-payment.</w:t>
            </w:r>
          </w:p>
        </w:tc>
      </w:tr>
      <w:tr w:rsidR="005D0E36" w:rsidRPr="00830F87" w:rsidTr="004F4B40">
        <w:tc>
          <w:tcPr>
            <w:tcW w:w="14457" w:type="dxa"/>
            <w:gridSpan w:val="4"/>
            <w:shd w:val="clear" w:color="auto" w:fill="F2F2F2" w:themeFill="background1" w:themeFillShade="F2"/>
          </w:tcPr>
          <w:p w:rsidR="005D0E36" w:rsidRPr="004B3582" w:rsidRDefault="005D0E36" w:rsidP="005D0E36">
            <w:pPr>
              <w:pStyle w:val="Heading4"/>
              <w:outlineLvl w:val="3"/>
              <w:rPr>
                <w:lang w:val="en"/>
              </w:rPr>
            </w:pPr>
            <w:r w:rsidRPr="004B3582">
              <w:rPr>
                <w:lang w:val="en"/>
              </w:rPr>
              <w:t>Governance and relationship management</w:t>
            </w:r>
          </w:p>
        </w:tc>
      </w:tr>
      <w:tr w:rsidR="004F4B40" w:rsidRPr="00830F87" w:rsidTr="00254E96">
        <w:tc>
          <w:tcPr>
            <w:tcW w:w="1497" w:type="dxa"/>
          </w:tcPr>
          <w:p w:rsidR="005D0E36" w:rsidRPr="004B3582" w:rsidRDefault="005D0E36" w:rsidP="005D0E36">
            <w:r>
              <w:t>N/A</w:t>
            </w:r>
          </w:p>
        </w:tc>
        <w:tc>
          <w:tcPr>
            <w:tcW w:w="1440" w:type="dxa"/>
          </w:tcPr>
          <w:p w:rsidR="005D0E36" w:rsidRPr="004B3582" w:rsidRDefault="005D0E36" w:rsidP="005D0E36">
            <w:r>
              <w:t>13.5</w:t>
            </w:r>
          </w:p>
        </w:tc>
        <w:tc>
          <w:tcPr>
            <w:tcW w:w="3780" w:type="dxa"/>
          </w:tcPr>
          <w:p w:rsidR="005D0E36" w:rsidRPr="004B3582" w:rsidRDefault="005D0E36" w:rsidP="005D0E36">
            <w:r>
              <w:t>Contract management review process included.</w:t>
            </w:r>
          </w:p>
        </w:tc>
        <w:tc>
          <w:tcPr>
            <w:tcW w:w="7740" w:type="dxa"/>
          </w:tcPr>
          <w:p w:rsidR="005D0E36" w:rsidRPr="004B3582" w:rsidRDefault="005D0E36" w:rsidP="005D0E36">
            <w:pPr>
              <w:rPr>
                <w:lang w:val="en"/>
              </w:rPr>
            </w:pPr>
            <w:r>
              <w:rPr>
                <w:rFonts w:hint="eastAsia"/>
                <w:lang w:val="en"/>
              </w:rPr>
              <w:t>U</w:t>
            </w:r>
            <w:r>
              <w:rPr>
                <w:lang w:val="en"/>
              </w:rPr>
              <w:t>pdated to give effect to the contract management regime under the Agreement.</w:t>
            </w:r>
          </w:p>
        </w:tc>
      </w:tr>
      <w:tr w:rsidR="004F4B40" w:rsidRPr="00830F87" w:rsidTr="00254E96">
        <w:tc>
          <w:tcPr>
            <w:tcW w:w="1497" w:type="dxa"/>
          </w:tcPr>
          <w:p w:rsidR="005D0E36" w:rsidRPr="004B3582" w:rsidRDefault="005D0E36" w:rsidP="005D0E36">
            <w:r>
              <w:t>11.3</w:t>
            </w:r>
          </w:p>
        </w:tc>
        <w:tc>
          <w:tcPr>
            <w:tcW w:w="1440" w:type="dxa"/>
          </w:tcPr>
          <w:p w:rsidR="005D0E36" w:rsidRPr="004B3582" w:rsidRDefault="005D0E36" w:rsidP="005D0E36">
            <w:r>
              <w:t>13.3</w:t>
            </w:r>
          </w:p>
        </w:tc>
        <w:tc>
          <w:tcPr>
            <w:tcW w:w="3780" w:type="dxa"/>
          </w:tcPr>
          <w:p w:rsidR="005D0E36" w:rsidRPr="004B3582" w:rsidRDefault="005D0E36" w:rsidP="005D0E36">
            <w:r w:rsidRPr="004B3582">
              <w:t>Consequences of failure to meet Service Level Requirements included</w:t>
            </w:r>
            <w:r>
              <w:t>.</w:t>
            </w:r>
          </w:p>
        </w:tc>
        <w:tc>
          <w:tcPr>
            <w:tcW w:w="7740" w:type="dxa"/>
          </w:tcPr>
          <w:p w:rsidR="005D0E36" w:rsidRPr="004B3582" w:rsidRDefault="005D0E36" w:rsidP="004F4B40">
            <w:r w:rsidRPr="004B3582">
              <w:t>Where the Supplier fails to meet any of the Service Level Requirements, the Supplier must, at no additional cost to the Organisation, promptly:</w:t>
            </w:r>
          </w:p>
          <w:p w:rsidR="005D0E36" w:rsidRPr="004B3582" w:rsidRDefault="005D0E36" w:rsidP="004F4B40">
            <w:pPr>
              <w:pStyle w:val="Listnum"/>
            </w:pPr>
            <w:r w:rsidRPr="004B3582">
              <w:t>notify the Organisation of the failure in writing; and</w:t>
            </w:r>
          </w:p>
          <w:p w:rsidR="005D0E36" w:rsidRPr="004B3582" w:rsidRDefault="005D0E36" w:rsidP="004F4B40">
            <w:pPr>
              <w:pStyle w:val="Listnum"/>
            </w:pPr>
            <w:r w:rsidRPr="004B3582">
              <w:t>arrange all additional resources reasonably necessary to provide the Goods in accordance with the Service Level Requirements as soon as reasonably practicable.</w:t>
            </w:r>
          </w:p>
          <w:p w:rsidR="005D0E36" w:rsidRPr="004B3582" w:rsidRDefault="005D0E36" w:rsidP="004F4B40">
            <w:pPr>
              <w:rPr>
                <w:highlight w:val="yellow"/>
              </w:rPr>
            </w:pPr>
            <w:r w:rsidRPr="004B3582">
              <w:t xml:space="preserve">Service credits/abatements may apply for a failure to meet a Service Level Requirement, if specified in Schedule 3. </w:t>
            </w:r>
          </w:p>
        </w:tc>
      </w:tr>
      <w:tr w:rsidR="004F4B40" w:rsidRPr="00830F87" w:rsidTr="00254E96">
        <w:tc>
          <w:tcPr>
            <w:tcW w:w="1497" w:type="dxa"/>
          </w:tcPr>
          <w:p w:rsidR="005D0E36" w:rsidRPr="004B3582" w:rsidRDefault="005D0E36" w:rsidP="005D0E36">
            <w:r>
              <w:t>13.1(b)</w:t>
            </w:r>
          </w:p>
        </w:tc>
        <w:tc>
          <w:tcPr>
            <w:tcW w:w="1440" w:type="dxa"/>
          </w:tcPr>
          <w:p w:rsidR="005D0E36" w:rsidRPr="004B3582" w:rsidRDefault="005D0E36" w:rsidP="005D0E36">
            <w:r>
              <w:t>15.1(b)</w:t>
            </w:r>
          </w:p>
        </w:tc>
        <w:tc>
          <w:tcPr>
            <w:tcW w:w="3780" w:type="dxa"/>
          </w:tcPr>
          <w:p w:rsidR="005D0E36" w:rsidRPr="004B3582" w:rsidRDefault="005D0E36" w:rsidP="005D0E36">
            <w:r w:rsidRPr="004B3582">
              <w:t>Amended to require the Supplier to comply with the State's policies and procedures in performing its obligations under the Agreement</w:t>
            </w:r>
            <w:r>
              <w:t>.</w:t>
            </w:r>
          </w:p>
        </w:tc>
        <w:tc>
          <w:tcPr>
            <w:tcW w:w="7740" w:type="dxa"/>
          </w:tcPr>
          <w:p w:rsidR="005D0E36" w:rsidRPr="004B3582" w:rsidRDefault="005D0E36" w:rsidP="005D0E36">
            <w:r w:rsidRPr="004B3582">
              <w:t>Ensures that the Supplier will comply with any of the State's policies and procedures, not just applicable Laws.</w:t>
            </w:r>
          </w:p>
        </w:tc>
      </w:tr>
      <w:tr w:rsidR="004F4B40" w:rsidRPr="00830F87" w:rsidTr="00254E96">
        <w:tc>
          <w:tcPr>
            <w:tcW w:w="1497" w:type="dxa"/>
          </w:tcPr>
          <w:p w:rsidR="005D0E36" w:rsidRDefault="005D0E36" w:rsidP="005D0E36">
            <w:r>
              <w:t>13.2</w:t>
            </w:r>
          </w:p>
        </w:tc>
        <w:tc>
          <w:tcPr>
            <w:tcW w:w="1440" w:type="dxa"/>
          </w:tcPr>
          <w:p w:rsidR="005D0E36" w:rsidRDefault="005D0E36" w:rsidP="005D0E36">
            <w:r>
              <w:t>15.2</w:t>
            </w:r>
          </w:p>
        </w:tc>
        <w:tc>
          <w:tcPr>
            <w:tcW w:w="3780" w:type="dxa"/>
          </w:tcPr>
          <w:p w:rsidR="005D0E36" w:rsidRPr="004B3582" w:rsidRDefault="005D0E36" w:rsidP="005D0E36">
            <w:r w:rsidRPr="004B3582">
              <w:t>A new clause inserted requiring the Supplier, in certain situations, to comply with the Victoria Public Sector Commission Code of Conduct</w:t>
            </w:r>
            <w:r>
              <w:t xml:space="preserve"> (VPSC).</w:t>
            </w:r>
          </w:p>
        </w:tc>
        <w:tc>
          <w:tcPr>
            <w:tcW w:w="7740" w:type="dxa"/>
          </w:tcPr>
          <w:p w:rsidR="005D0E36" w:rsidRPr="004B3582" w:rsidRDefault="005D0E36" w:rsidP="005D0E36">
            <w:r w:rsidRPr="004B3582">
              <w:t>Where, in the course of providing the Goods, the Supplier or its Personnel supervise or work with Public Sector Employees, undertake work that is of a similar nature to the work undertaken by Public Sector Employees at a public sector workplace or use or have access to public sector resources, the Supplier must comply with the VPSC Code of Conduct.</w:t>
            </w:r>
          </w:p>
        </w:tc>
      </w:tr>
      <w:tr w:rsidR="00254E96" w:rsidRPr="00830F87" w:rsidTr="00254E96">
        <w:tc>
          <w:tcPr>
            <w:tcW w:w="1497" w:type="dxa"/>
          </w:tcPr>
          <w:p w:rsidR="005D0E36" w:rsidRDefault="005D0E36" w:rsidP="005D0E36">
            <w:r>
              <w:lastRenderedPageBreak/>
              <w:t>13.3</w:t>
            </w:r>
          </w:p>
        </w:tc>
        <w:tc>
          <w:tcPr>
            <w:tcW w:w="1440" w:type="dxa"/>
          </w:tcPr>
          <w:p w:rsidR="005D0E36" w:rsidRDefault="005D0E36" w:rsidP="005D0E36">
            <w:r>
              <w:t>15.3</w:t>
            </w:r>
          </w:p>
        </w:tc>
        <w:tc>
          <w:tcPr>
            <w:tcW w:w="3780" w:type="dxa"/>
          </w:tcPr>
          <w:p w:rsidR="005D0E36" w:rsidRPr="004B3582" w:rsidRDefault="005D0E36" w:rsidP="005D0E36">
            <w:r w:rsidRPr="004B3582">
              <w:t>The obligations regarding the Supplier Code of Conduct have been updated</w:t>
            </w:r>
            <w:r>
              <w:t>.</w:t>
            </w:r>
          </w:p>
        </w:tc>
        <w:tc>
          <w:tcPr>
            <w:tcW w:w="7740" w:type="dxa"/>
          </w:tcPr>
          <w:p w:rsidR="005D0E36" w:rsidRPr="004B3582" w:rsidRDefault="005D0E36" w:rsidP="004F4B40">
            <w:r w:rsidRPr="004B3582">
              <w:t>A substantive obligation for suppliers to comply with the Code has not been included.  The clause requires the Supplier to acknowledge that:</w:t>
            </w:r>
          </w:p>
          <w:p w:rsidR="005D0E36" w:rsidRPr="004F4B40" w:rsidRDefault="005D0E36" w:rsidP="004F4B40">
            <w:pPr>
              <w:pStyle w:val="Listnum"/>
              <w:numPr>
                <w:ilvl w:val="0"/>
                <w:numId w:val="49"/>
              </w:numPr>
            </w:pPr>
            <w:r w:rsidRPr="004F4B40">
              <w:t>the Supplier Code of Conduct is an important part of the State's approach to procurement and describes the State's minimum expectations regarding the conduct of its suppliers;</w:t>
            </w:r>
          </w:p>
          <w:p w:rsidR="005D0E36" w:rsidRPr="004B3582" w:rsidRDefault="005D0E36" w:rsidP="004F4B40">
            <w:pPr>
              <w:pStyle w:val="Listnum"/>
            </w:pPr>
            <w:r w:rsidRPr="004B3582">
              <w:t>it has read the Supplier Code of Conduct; and</w:t>
            </w:r>
          </w:p>
          <w:p w:rsidR="005D0E36" w:rsidRPr="004B3582" w:rsidRDefault="005D0E36" w:rsidP="004F4B40">
            <w:pPr>
              <w:pStyle w:val="Listnum"/>
            </w:pPr>
            <w:r w:rsidRPr="004B3582">
              <w:t xml:space="preserve">the expectations set out in the Code are not intended to reduce, alter or supersede any other obligations which may be imposed on the Supplier, whether under the Agreement or Law. </w:t>
            </w:r>
          </w:p>
        </w:tc>
      </w:tr>
      <w:tr w:rsidR="004F4B40" w:rsidRPr="00830F87" w:rsidTr="00254E96">
        <w:tc>
          <w:tcPr>
            <w:tcW w:w="1497" w:type="dxa"/>
          </w:tcPr>
          <w:p w:rsidR="005D0E36" w:rsidRPr="004B3582" w:rsidRDefault="005D0E36" w:rsidP="005D0E36">
            <w:r>
              <w:t>13.5</w:t>
            </w:r>
          </w:p>
        </w:tc>
        <w:tc>
          <w:tcPr>
            <w:tcW w:w="1440" w:type="dxa"/>
          </w:tcPr>
          <w:p w:rsidR="005D0E36" w:rsidRPr="004B3582" w:rsidRDefault="005D0E36" w:rsidP="005D0E36">
            <w:r>
              <w:t>15.5</w:t>
            </w:r>
          </w:p>
        </w:tc>
        <w:tc>
          <w:tcPr>
            <w:tcW w:w="3780" w:type="dxa"/>
          </w:tcPr>
          <w:p w:rsidR="005D0E36" w:rsidRPr="004B3582" w:rsidRDefault="005D0E36" w:rsidP="005D0E36">
            <w:r w:rsidRPr="004B3582">
              <w:t>Updated V</w:t>
            </w:r>
            <w:r>
              <w:t xml:space="preserve">ictorian </w:t>
            </w:r>
            <w:r w:rsidRPr="004B3582">
              <w:t>I</w:t>
            </w:r>
            <w:r>
              <w:t xml:space="preserve">ndustry </w:t>
            </w:r>
            <w:r w:rsidRPr="004B3582">
              <w:t>P</w:t>
            </w:r>
            <w:r>
              <w:t xml:space="preserve">articipation </w:t>
            </w:r>
            <w:r w:rsidRPr="004B3582">
              <w:t>P</w:t>
            </w:r>
            <w:r>
              <w:t>olicy (VIPP)</w:t>
            </w:r>
            <w:r w:rsidRPr="004B3582">
              <w:t xml:space="preserve"> terms and conditions i</w:t>
            </w:r>
            <w:r>
              <w:t>f they are set out in Schedule 4.</w:t>
            </w:r>
          </w:p>
        </w:tc>
        <w:tc>
          <w:tcPr>
            <w:tcW w:w="7740" w:type="dxa"/>
          </w:tcPr>
          <w:p w:rsidR="005D0E36" w:rsidRPr="004B3582" w:rsidRDefault="005D0E36" w:rsidP="005D0E36">
            <w:r w:rsidRPr="004B3582">
              <w:t>To address changes in VIPP.</w:t>
            </w:r>
          </w:p>
        </w:tc>
      </w:tr>
      <w:tr w:rsidR="004F4B40" w:rsidRPr="00830F87" w:rsidTr="00254E96">
        <w:tc>
          <w:tcPr>
            <w:tcW w:w="1497" w:type="dxa"/>
          </w:tcPr>
          <w:p w:rsidR="005D0E36" w:rsidRPr="004B3582" w:rsidRDefault="005D0E36" w:rsidP="005D0E36">
            <w:r>
              <w:t>13.6</w:t>
            </w:r>
          </w:p>
        </w:tc>
        <w:tc>
          <w:tcPr>
            <w:tcW w:w="1440" w:type="dxa"/>
          </w:tcPr>
          <w:p w:rsidR="005D0E36" w:rsidRPr="004B3582" w:rsidRDefault="005D0E36" w:rsidP="005D0E36">
            <w:r>
              <w:t>15.6</w:t>
            </w:r>
          </w:p>
        </w:tc>
        <w:tc>
          <w:tcPr>
            <w:tcW w:w="3780" w:type="dxa"/>
          </w:tcPr>
          <w:p w:rsidR="005D0E36" w:rsidRPr="004B3582" w:rsidRDefault="005D0E36" w:rsidP="005D0E36">
            <w:r w:rsidRPr="004B3582">
              <w:t>A new clause has been included prohibiting the Supplier from giving unlawful inducements</w:t>
            </w:r>
            <w:r>
              <w:t>.</w:t>
            </w:r>
          </w:p>
        </w:tc>
        <w:tc>
          <w:tcPr>
            <w:tcW w:w="7740" w:type="dxa"/>
          </w:tcPr>
          <w:p w:rsidR="005D0E36" w:rsidRPr="004B3582" w:rsidRDefault="005D0E36" w:rsidP="005D0E36">
            <w:r w:rsidRPr="004B3582">
              <w:t xml:space="preserve">The Supplier agrees not to, and to ensure that its Personnel will not, promise to pay, agree to pay, give, accept or solicit anything of value (including to or from any third party) in order to secure any reward or improper benefit other than payment for the performance of their obligations under the Agreement. </w:t>
            </w:r>
          </w:p>
          <w:p w:rsidR="005D0E36" w:rsidRPr="004B3582" w:rsidRDefault="005D0E36" w:rsidP="005D0E36">
            <w:r w:rsidRPr="004B3582">
              <w:t xml:space="preserve">This clause gives the Organisation the right to terminate the Agreement immediately on notice to the Supplier if the Supplier or any of its Personnel are found to have engaged in such conduct. </w:t>
            </w:r>
          </w:p>
        </w:tc>
      </w:tr>
      <w:tr w:rsidR="004F4B40" w:rsidRPr="00830F87" w:rsidTr="00254E96">
        <w:tc>
          <w:tcPr>
            <w:tcW w:w="1497" w:type="dxa"/>
          </w:tcPr>
          <w:p w:rsidR="005D0E36" w:rsidRPr="004B3582" w:rsidRDefault="005D0E36" w:rsidP="005D0E36">
            <w:r>
              <w:t>14</w:t>
            </w:r>
          </w:p>
        </w:tc>
        <w:tc>
          <w:tcPr>
            <w:tcW w:w="1440" w:type="dxa"/>
          </w:tcPr>
          <w:p w:rsidR="005D0E36" w:rsidRPr="004B3582" w:rsidRDefault="005D0E36" w:rsidP="005D0E36">
            <w:r w:rsidRPr="004B3582">
              <w:t>N/A</w:t>
            </w:r>
          </w:p>
        </w:tc>
        <w:tc>
          <w:tcPr>
            <w:tcW w:w="3780" w:type="dxa"/>
          </w:tcPr>
          <w:p w:rsidR="005D0E36" w:rsidRPr="004B3582" w:rsidRDefault="005D0E36" w:rsidP="005D0E36">
            <w:r w:rsidRPr="004B3582">
              <w:t>A new clause included which governs conflicts of interest</w:t>
            </w:r>
            <w:r>
              <w:t>.</w:t>
            </w:r>
          </w:p>
        </w:tc>
        <w:tc>
          <w:tcPr>
            <w:tcW w:w="7740" w:type="dxa"/>
          </w:tcPr>
          <w:p w:rsidR="005D0E36" w:rsidRPr="004B3582" w:rsidRDefault="005D0E36" w:rsidP="005D0E36">
            <w:r w:rsidRPr="004B3582">
              <w:t xml:space="preserve">The Supplier warrants to the Organisation that it will not, and will ensure that its Personnel do not, have any duties or interests that would cause a real or apparent conflict of interest with its duties under the Agreement. The Supplier is required to inform the Organisation of any matter which may give rise to an actual or </w:t>
            </w:r>
            <w:r>
              <w:t>perceived</w:t>
            </w:r>
            <w:r w:rsidRPr="004B3582">
              <w:t xml:space="preserve"> conflict of interest and comply with any reasonable directions given by the Organisation in terms of dealing with that conflict. </w:t>
            </w:r>
          </w:p>
        </w:tc>
      </w:tr>
      <w:tr w:rsidR="004F4B40" w:rsidRPr="00830F87" w:rsidTr="00254E96">
        <w:tc>
          <w:tcPr>
            <w:tcW w:w="1497" w:type="dxa"/>
          </w:tcPr>
          <w:p w:rsidR="005D0E36" w:rsidRPr="004B3582" w:rsidRDefault="005D0E36" w:rsidP="005D0E36">
            <w:r>
              <w:t>15</w:t>
            </w:r>
          </w:p>
        </w:tc>
        <w:tc>
          <w:tcPr>
            <w:tcW w:w="1440" w:type="dxa"/>
          </w:tcPr>
          <w:p w:rsidR="005D0E36" w:rsidRPr="004B3582" w:rsidRDefault="005D0E36" w:rsidP="005D0E36">
            <w:r>
              <w:t>17</w:t>
            </w:r>
          </w:p>
        </w:tc>
        <w:tc>
          <w:tcPr>
            <w:tcW w:w="3780" w:type="dxa"/>
          </w:tcPr>
          <w:p w:rsidR="005D0E36" w:rsidRPr="004B3582" w:rsidRDefault="005D0E36" w:rsidP="005D0E36">
            <w:r>
              <w:t>Updated (multiple purchase) and inserted change in control provisions.</w:t>
            </w:r>
          </w:p>
        </w:tc>
        <w:tc>
          <w:tcPr>
            <w:tcW w:w="7740" w:type="dxa"/>
          </w:tcPr>
          <w:p w:rsidR="005D0E36" w:rsidRPr="006465F5" w:rsidRDefault="005D0E36" w:rsidP="005D0E36">
            <w:r>
              <w:t>The Supplier must notify the Organisation of any change in control. The Organisation may terminate the Agreement following such notice.</w:t>
            </w:r>
          </w:p>
        </w:tc>
      </w:tr>
      <w:tr w:rsidR="004F4B40" w:rsidRPr="00830F87" w:rsidTr="00254E96">
        <w:tc>
          <w:tcPr>
            <w:tcW w:w="1497" w:type="dxa"/>
          </w:tcPr>
          <w:p w:rsidR="005D0E36" w:rsidRPr="004B3582" w:rsidRDefault="005D0E36" w:rsidP="005D0E36">
            <w:r>
              <w:t>17.1 and 17.2</w:t>
            </w:r>
          </w:p>
        </w:tc>
        <w:tc>
          <w:tcPr>
            <w:tcW w:w="1440" w:type="dxa"/>
          </w:tcPr>
          <w:p w:rsidR="005D0E36" w:rsidRPr="004B3582" w:rsidRDefault="005D0E36" w:rsidP="005D0E36">
            <w:r>
              <w:t>19.1 and 19.2</w:t>
            </w:r>
          </w:p>
        </w:tc>
        <w:tc>
          <w:tcPr>
            <w:tcW w:w="3780" w:type="dxa"/>
          </w:tcPr>
          <w:p w:rsidR="005D0E36" w:rsidRPr="004B3582" w:rsidRDefault="005D0E36" w:rsidP="005D0E36">
            <w:r w:rsidRPr="004B3582">
              <w:t>Amended to include additional delivery m</w:t>
            </w:r>
            <w:r>
              <w:t>ethods, including email delivery.</w:t>
            </w:r>
          </w:p>
        </w:tc>
        <w:tc>
          <w:tcPr>
            <w:tcW w:w="7740" w:type="dxa"/>
          </w:tcPr>
          <w:p w:rsidR="005D0E36" w:rsidRPr="004B3582" w:rsidRDefault="005D0E36" w:rsidP="005D0E36">
            <w:r w:rsidRPr="004B3582">
              <w:t>Updated to include additional options for next day delivery services and document exchange (DX).</w:t>
            </w:r>
          </w:p>
          <w:p w:rsidR="005D0E36" w:rsidRPr="004B3582" w:rsidRDefault="005D0E36" w:rsidP="005D0E36">
            <w:r w:rsidRPr="004B3582">
              <w:t xml:space="preserve">Email delivery is acceptable only if an email address is included </w:t>
            </w:r>
            <w:r>
              <w:t xml:space="preserve">in the relevant </w:t>
            </w:r>
            <w:r w:rsidR="004F4B40">
              <w:t>Item </w:t>
            </w:r>
            <w:r>
              <w:t>of Schedule 1.</w:t>
            </w:r>
            <w:r w:rsidRPr="004B3582">
              <w:t xml:space="preserve"> The Guidance Notes explain that delivery is only taken to have occurred when a read-receipt (or similar confirmation) is sent to the sender, which may not always occur, and therefore critical communications should also be delivered by alternative methods in addition to email.</w:t>
            </w:r>
          </w:p>
        </w:tc>
      </w:tr>
      <w:tr w:rsidR="005D0E36" w:rsidRPr="00830F87" w:rsidTr="004F4B40">
        <w:tc>
          <w:tcPr>
            <w:tcW w:w="14457" w:type="dxa"/>
            <w:gridSpan w:val="4"/>
            <w:shd w:val="clear" w:color="auto" w:fill="F2F2F2" w:themeFill="background1" w:themeFillShade="F2"/>
          </w:tcPr>
          <w:p w:rsidR="005D0E36" w:rsidRPr="004B3582" w:rsidRDefault="005D0E36" w:rsidP="005D0E36">
            <w:pPr>
              <w:pStyle w:val="Heading4"/>
              <w:outlineLvl w:val="3"/>
              <w:rPr>
                <w:lang w:val="en"/>
              </w:rPr>
            </w:pPr>
            <w:r w:rsidRPr="004B3582">
              <w:rPr>
                <w:lang w:val="en"/>
              </w:rPr>
              <w:lastRenderedPageBreak/>
              <w:t>Information and intellectual property</w:t>
            </w:r>
          </w:p>
        </w:tc>
      </w:tr>
      <w:tr w:rsidR="004F4B40" w:rsidRPr="00830F87" w:rsidTr="00254E96">
        <w:tc>
          <w:tcPr>
            <w:tcW w:w="1497" w:type="dxa"/>
          </w:tcPr>
          <w:p w:rsidR="005D0E36" w:rsidRPr="004B3582" w:rsidRDefault="005D0E36" w:rsidP="005D0E36">
            <w:r>
              <w:t>18.2</w:t>
            </w:r>
          </w:p>
        </w:tc>
        <w:tc>
          <w:tcPr>
            <w:tcW w:w="1440" w:type="dxa"/>
          </w:tcPr>
          <w:p w:rsidR="005D0E36" w:rsidRPr="004B3582" w:rsidRDefault="005D0E36" w:rsidP="005D0E36">
            <w:r>
              <w:t>20.2</w:t>
            </w:r>
          </w:p>
        </w:tc>
        <w:tc>
          <w:tcPr>
            <w:tcW w:w="3780" w:type="dxa"/>
          </w:tcPr>
          <w:p w:rsidR="005D0E36" w:rsidRPr="004B3582" w:rsidRDefault="005D0E36" w:rsidP="005D0E36">
            <w:r w:rsidRPr="004B3582">
              <w:t>The Organisation's audit rights have been expanded</w:t>
            </w:r>
            <w:r>
              <w:t>.</w:t>
            </w:r>
          </w:p>
        </w:tc>
        <w:tc>
          <w:tcPr>
            <w:tcW w:w="7740" w:type="dxa"/>
          </w:tcPr>
          <w:p w:rsidR="005D0E36" w:rsidRPr="004B3582" w:rsidRDefault="005D0E36" w:rsidP="004F4B40">
            <w:r w:rsidRPr="004B3582">
              <w:t>The Organisation:</w:t>
            </w:r>
          </w:p>
          <w:p w:rsidR="005D0E36" w:rsidRPr="004F4B40" w:rsidRDefault="005D0E36" w:rsidP="004F4B40">
            <w:pPr>
              <w:pStyle w:val="Listnum"/>
              <w:numPr>
                <w:ilvl w:val="0"/>
                <w:numId w:val="50"/>
              </w:numPr>
            </w:pPr>
            <w:r w:rsidRPr="004F4B40">
              <w:t>may verify the Supplier's compliance with its obligations under the Agreement generally (not just calculation of the Unit Prices and/or Purchase Price); and</w:t>
            </w:r>
          </w:p>
          <w:p w:rsidR="005D0E36" w:rsidRPr="004B3582" w:rsidRDefault="005D0E36" w:rsidP="004F4B40">
            <w:pPr>
              <w:pStyle w:val="Listnum"/>
            </w:pPr>
            <w:r w:rsidRPr="004B3582">
              <w:t>is not required to give notice if it is not practicable or appropriate to do so. In some circumstances (for example, suspected fraud), notice may not be appropriate. Otherwise the Organisation must give reasonable notice.</w:t>
            </w:r>
          </w:p>
          <w:p w:rsidR="005D0E36" w:rsidRPr="004B3582" w:rsidRDefault="005D0E36" w:rsidP="004F4B40">
            <w:r w:rsidRPr="004B3582">
              <w:t xml:space="preserve">There is also an obligation for the Supplier to co-operate with the Organisation or its auditor regarding the conduct of audits. </w:t>
            </w:r>
          </w:p>
          <w:p w:rsidR="005D0E36" w:rsidRPr="004B3582" w:rsidRDefault="005D0E36" w:rsidP="004F4B40">
            <w:pPr>
              <w:rPr>
                <w:lang w:val="en"/>
              </w:rPr>
            </w:pPr>
            <w:r w:rsidRPr="004B3582">
              <w:t xml:space="preserve">If the outcome of an audit does not require any corrective action, each party must bear its own costs associated with any audits. However, under the amended clause, if the audit identifies non-compliance by the Supplier, the Supplier will pay the Organisation's costs in respect of the audit.  </w:t>
            </w:r>
          </w:p>
        </w:tc>
      </w:tr>
      <w:tr w:rsidR="00254E96" w:rsidRPr="00830F87" w:rsidTr="00254E96">
        <w:tc>
          <w:tcPr>
            <w:tcW w:w="1497" w:type="dxa"/>
          </w:tcPr>
          <w:p w:rsidR="005D0E36" w:rsidRPr="004B3582" w:rsidRDefault="005D0E36" w:rsidP="005D0E36">
            <w:r>
              <w:t>19</w:t>
            </w:r>
          </w:p>
        </w:tc>
        <w:tc>
          <w:tcPr>
            <w:tcW w:w="1440" w:type="dxa"/>
          </w:tcPr>
          <w:p w:rsidR="005D0E36" w:rsidRPr="004B3582" w:rsidRDefault="005D0E36" w:rsidP="005D0E36">
            <w:r>
              <w:t>21</w:t>
            </w:r>
          </w:p>
        </w:tc>
        <w:tc>
          <w:tcPr>
            <w:tcW w:w="3780" w:type="dxa"/>
          </w:tcPr>
          <w:p w:rsidR="005D0E36" w:rsidRPr="004B3582" w:rsidRDefault="005D0E36" w:rsidP="005D0E36">
            <w:r>
              <w:t>Updated intellectual property provision.</w:t>
            </w:r>
          </w:p>
        </w:tc>
        <w:tc>
          <w:tcPr>
            <w:tcW w:w="7740" w:type="dxa"/>
          </w:tcPr>
          <w:p w:rsidR="005D0E36" w:rsidRPr="004B3582" w:rsidRDefault="005D0E36" w:rsidP="005D0E36">
            <w:pPr>
              <w:rPr>
                <w:lang w:val="en"/>
              </w:rPr>
            </w:pPr>
            <w:r>
              <w:rPr>
                <w:lang w:val="en"/>
              </w:rPr>
              <w:t>The Supplier’s warranty and indemnity regarding intellectual property is now provided for in the warranty and indemnity clauses respectively. Under this new intellectual property provision, the Supplier is granting to the Organisation an irrevocable and unconditional licence, as well as the right to sub-licence.</w:t>
            </w:r>
          </w:p>
        </w:tc>
      </w:tr>
      <w:tr w:rsidR="004F4B40" w:rsidRPr="00830F87" w:rsidTr="00254E96">
        <w:tc>
          <w:tcPr>
            <w:tcW w:w="1497" w:type="dxa"/>
          </w:tcPr>
          <w:p w:rsidR="005D0E36" w:rsidRPr="004B3582" w:rsidRDefault="005D0E36" w:rsidP="005D0E36">
            <w:r>
              <w:t>20</w:t>
            </w:r>
          </w:p>
        </w:tc>
        <w:tc>
          <w:tcPr>
            <w:tcW w:w="1440" w:type="dxa"/>
          </w:tcPr>
          <w:p w:rsidR="005D0E36" w:rsidRPr="004B3582" w:rsidRDefault="005D0E36" w:rsidP="005D0E36">
            <w:r>
              <w:t>22</w:t>
            </w:r>
          </w:p>
        </w:tc>
        <w:tc>
          <w:tcPr>
            <w:tcW w:w="3780" w:type="dxa"/>
          </w:tcPr>
          <w:p w:rsidR="005D0E36" w:rsidRPr="004B3582" w:rsidRDefault="005D0E36" w:rsidP="005D0E36">
            <w:r>
              <w:t>Inserted Data provision.</w:t>
            </w:r>
          </w:p>
        </w:tc>
        <w:tc>
          <w:tcPr>
            <w:tcW w:w="7740" w:type="dxa"/>
          </w:tcPr>
          <w:p w:rsidR="005D0E36" w:rsidRPr="004B3582" w:rsidRDefault="005D0E36" w:rsidP="005D0E36">
            <w:pPr>
              <w:rPr>
                <w:lang w:val="en"/>
              </w:rPr>
            </w:pPr>
            <w:r>
              <w:rPr>
                <w:rFonts w:hint="eastAsia"/>
                <w:lang w:val="en"/>
              </w:rPr>
              <w:t>U</w:t>
            </w:r>
            <w:r>
              <w:rPr>
                <w:lang w:val="en"/>
              </w:rPr>
              <w:t>nder this provision, ownership of Intellectual Property rights in Data will remain vested in the Organisation at all times, and the Supplier may only use the Data for the purposes of performing its obligations under the Agreement or any Purchase Order Contract (multiple-purchase).</w:t>
            </w:r>
          </w:p>
        </w:tc>
      </w:tr>
      <w:tr w:rsidR="00254E96" w:rsidRPr="00830F87" w:rsidTr="00254E96">
        <w:tc>
          <w:tcPr>
            <w:tcW w:w="1497" w:type="dxa"/>
          </w:tcPr>
          <w:p w:rsidR="005D0E36" w:rsidRDefault="005D0E36" w:rsidP="005D0E36">
            <w:r>
              <w:t>21.1(c)</w:t>
            </w:r>
          </w:p>
        </w:tc>
        <w:tc>
          <w:tcPr>
            <w:tcW w:w="1440" w:type="dxa"/>
          </w:tcPr>
          <w:p w:rsidR="005D0E36" w:rsidRDefault="005D0E36" w:rsidP="005D0E36">
            <w:r>
              <w:t>23.1(c)</w:t>
            </w:r>
          </w:p>
        </w:tc>
        <w:tc>
          <w:tcPr>
            <w:tcW w:w="3780" w:type="dxa"/>
          </w:tcPr>
          <w:p w:rsidR="005D0E36" w:rsidRDefault="005D0E36" w:rsidP="005D0E36">
            <w:r>
              <w:t>New provision regarding public announcements.</w:t>
            </w:r>
          </w:p>
        </w:tc>
        <w:tc>
          <w:tcPr>
            <w:tcW w:w="7740" w:type="dxa"/>
          </w:tcPr>
          <w:p w:rsidR="005D0E36" w:rsidRDefault="005D0E36" w:rsidP="005D0E36">
            <w:pPr>
              <w:rPr>
                <w:lang w:val="en"/>
              </w:rPr>
            </w:pPr>
            <w:r>
              <w:rPr>
                <w:rFonts w:hint="eastAsia"/>
                <w:lang w:val="en"/>
              </w:rPr>
              <w:t>T</w:t>
            </w:r>
            <w:r>
              <w:rPr>
                <w:lang w:val="en"/>
              </w:rPr>
              <w:t>he Supplier must not make a public announcement in relation to the Agreement without the prior written consent of the Organisation.</w:t>
            </w:r>
          </w:p>
        </w:tc>
      </w:tr>
      <w:tr w:rsidR="004F4B40" w:rsidRPr="00830F87" w:rsidTr="00254E96">
        <w:tc>
          <w:tcPr>
            <w:tcW w:w="1497" w:type="dxa"/>
          </w:tcPr>
          <w:p w:rsidR="005D0E36" w:rsidRDefault="005D0E36" w:rsidP="005D0E36">
            <w:r>
              <w:t>21.1(d)</w:t>
            </w:r>
          </w:p>
        </w:tc>
        <w:tc>
          <w:tcPr>
            <w:tcW w:w="1440" w:type="dxa"/>
          </w:tcPr>
          <w:p w:rsidR="005D0E36" w:rsidRDefault="005D0E36" w:rsidP="005D0E36">
            <w:r>
              <w:t>23.1(d)</w:t>
            </w:r>
          </w:p>
        </w:tc>
        <w:tc>
          <w:tcPr>
            <w:tcW w:w="3780" w:type="dxa"/>
          </w:tcPr>
          <w:p w:rsidR="005D0E36" w:rsidRDefault="005D0E36" w:rsidP="005D0E36">
            <w:r w:rsidRPr="004B3582">
              <w:t>New clause included to provide an obligation for Supplier's Personnel to execute confidentiality undertakings on request by the Organisation</w:t>
            </w:r>
            <w:r>
              <w:t>.</w:t>
            </w:r>
          </w:p>
        </w:tc>
        <w:tc>
          <w:tcPr>
            <w:tcW w:w="7740" w:type="dxa"/>
          </w:tcPr>
          <w:p w:rsidR="005D0E36" w:rsidRDefault="005D0E36" w:rsidP="005D0E36">
            <w:pPr>
              <w:rPr>
                <w:lang w:val="en"/>
              </w:rPr>
            </w:pPr>
            <w:r w:rsidRPr="004B3582">
              <w:t>This clause is limited to the Supplier's Personnel who are involved in providing the Goods and who may have access to the Organisation's Confidential Information. This limitation makes the clause less onerous for Suppliers.</w:t>
            </w:r>
          </w:p>
        </w:tc>
      </w:tr>
      <w:tr w:rsidR="004F4B40" w:rsidRPr="00830F87" w:rsidTr="00254E96">
        <w:tc>
          <w:tcPr>
            <w:tcW w:w="1497" w:type="dxa"/>
          </w:tcPr>
          <w:p w:rsidR="005D0E36" w:rsidRDefault="005D0E36" w:rsidP="005D0E36">
            <w:r>
              <w:t>21.2 and 21.4</w:t>
            </w:r>
          </w:p>
        </w:tc>
        <w:tc>
          <w:tcPr>
            <w:tcW w:w="1440" w:type="dxa"/>
          </w:tcPr>
          <w:p w:rsidR="005D0E36" w:rsidRDefault="005D0E36" w:rsidP="005D0E36">
            <w:r>
              <w:t>23.2 and 23.4</w:t>
            </w:r>
          </w:p>
        </w:tc>
        <w:tc>
          <w:tcPr>
            <w:tcW w:w="3780" w:type="dxa"/>
          </w:tcPr>
          <w:p w:rsidR="005D0E36" w:rsidRDefault="005D0E36" w:rsidP="005D0E36">
            <w:r>
              <w:rPr>
                <w:rFonts w:hint="eastAsia"/>
              </w:rPr>
              <w:t>N</w:t>
            </w:r>
            <w:r>
              <w:t>ew provision regarding exceptions to the Supplier’s obligations of confidentiality and permitted disclosure.</w:t>
            </w:r>
          </w:p>
        </w:tc>
        <w:tc>
          <w:tcPr>
            <w:tcW w:w="7740" w:type="dxa"/>
          </w:tcPr>
          <w:p w:rsidR="005D0E36" w:rsidRDefault="005D0E36" w:rsidP="005D0E36">
            <w:pPr>
              <w:rPr>
                <w:lang w:val="en"/>
              </w:rPr>
            </w:pPr>
            <w:r>
              <w:rPr>
                <w:rFonts w:hint="eastAsia"/>
                <w:lang w:val="en"/>
              </w:rPr>
              <w:t>M</w:t>
            </w:r>
            <w:r>
              <w:rPr>
                <w:lang w:val="en"/>
              </w:rPr>
              <w:t xml:space="preserve">ore comprehensive regime around the disclosure of Confidential </w:t>
            </w:r>
            <w:r>
              <w:rPr>
                <w:rFonts w:hint="eastAsia"/>
                <w:lang w:val="en"/>
              </w:rPr>
              <w:t>I</w:t>
            </w:r>
            <w:r>
              <w:rPr>
                <w:lang w:val="en"/>
              </w:rPr>
              <w:t xml:space="preserve">nformation required to ensure that the Organisation’s Confidential </w:t>
            </w:r>
            <w:r>
              <w:rPr>
                <w:rFonts w:hint="eastAsia"/>
                <w:lang w:val="en"/>
              </w:rPr>
              <w:t>I</w:t>
            </w:r>
            <w:r>
              <w:rPr>
                <w:lang w:val="en"/>
              </w:rPr>
              <w:t>nformation is kept confidential, to the extent reasonably possible.</w:t>
            </w:r>
          </w:p>
        </w:tc>
      </w:tr>
      <w:tr w:rsidR="004F4B40" w:rsidRPr="00830F87" w:rsidTr="00254E96">
        <w:tc>
          <w:tcPr>
            <w:tcW w:w="1497" w:type="dxa"/>
          </w:tcPr>
          <w:p w:rsidR="005D0E36" w:rsidRPr="004B3582" w:rsidRDefault="005D0E36" w:rsidP="005D0E36">
            <w:r>
              <w:t>21.5</w:t>
            </w:r>
          </w:p>
        </w:tc>
        <w:tc>
          <w:tcPr>
            <w:tcW w:w="1440" w:type="dxa"/>
          </w:tcPr>
          <w:p w:rsidR="005D0E36" w:rsidRPr="004B3582" w:rsidRDefault="005D0E36" w:rsidP="005D0E36">
            <w:r>
              <w:t>23.5</w:t>
            </w:r>
          </w:p>
        </w:tc>
        <w:tc>
          <w:tcPr>
            <w:tcW w:w="3780" w:type="dxa"/>
          </w:tcPr>
          <w:p w:rsidR="005D0E36" w:rsidRPr="004B3582" w:rsidRDefault="005D0E36" w:rsidP="005D0E36">
            <w:r>
              <w:t>The circumstances in which the Organisation may disclose information relating to the Supplier have been updated.</w:t>
            </w:r>
          </w:p>
        </w:tc>
        <w:tc>
          <w:tcPr>
            <w:tcW w:w="7740" w:type="dxa"/>
          </w:tcPr>
          <w:p w:rsidR="005D0E36" w:rsidRDefault="005D0E36" w:rsidP="005D0E36">
            <w:pPr>
              <w:rPr>
                <w:lang w:val="en"/>
              </w:rPr>
            </w:pPr>
            <w:r>
              <w:rPr>
                <w:rFonts w:hint="eastAsia"/>
                <w:lang w:val="en"/>
              </w:rPr>
              <w:t>U</w:t>
            </w:r>
            <w:r>
              <w:rPr>
                <w:lang w:val="en"/>
              </w:rPr>
              <w:t xml:space="preserve">pdated to include a more comprehensive list of scenarios where the Organisation may be required to disclose a Supplier’s information. </w:t>
            </w:r>
          </w:p>
          <w:p w:rsidR="005D0E36" w:rsidRPr="004B3582" w:rsidRDefault="005D0E36" w:rsidP="005D0E36">
            <w:pPr>
              <w:rPr>
                <w:lang w:val="en"/>
              </w:rPr>
            </w:pPr>
            <w:r>
              <w:rPr>
                <w:rFonts w:hint="eastAsia"/>
                <w:lang w:val="en"/>
              </w:rPr>
              <w:t>T</w:t>
            </w:r>
            <w:r>
              <w:rPr>
                <w:lang w:val="en"/>
              </w:rPr>
              <w:t xml:space="preserve">his amendment ensures all situations in which the Organisation may need to disclose a Supplier’s information are addressed. </w:t>
            </w:r>
          </w:p>
        </w:tc>
      </w:tr>
      <w:tr w:rsidR="004F4B40" w:rsidRPr="00830F87" w:rsidTr="00254E96">
        <w:tc>
          <w:tcPr>
            <w:tcW w:w="1497" w:type="dxa"/>
          </w:tcPr>
          <w:p w:rsidR="005D0E36" w:rsidRDefault="005D0E36" w:rsidP="005D0E36">
            <w:r>
              <w:lastRenderedPageBreak/>
              <w:t>21.6</w:t>
            </w:r>
          </w:p>
        </w:tc>
        <w:tc>
          <w:tcPr>
            <w:tcW w:w="1440" w:type="dxa"/>
          </w:tcPr>
          <w:p w:rsidR="005D0E36" w:rsidRDefault="005D0E36" w:rsidP="005D0E36">
            <w:r>
              <w:t>23.6</w:t>
            </w:r>
          </w:p>
        </w:tc>
        <w:tc>
          <w:tcPr>
            <w:tcW w:w="3780" w:type="dxa"/>
          </w:tcPr>
          <w:p w:rsidR="005D0E36" w:rsidRDefault="005D0E36" w:rsidP="005D0E36">
            <w:r>
              <w:rPr>
                <w:rFonts w:hint="eastAsia"/>
              </w:rPr>
              <w:t>I</w:t>
            </w:r>
            <w:r>
              <w:t>ncluded provisions governing the return of the Organisation’s Confidential Information.</w:t>
            </w:r>
          </w:p>
        </w:tc>
        <w:tc>
          <w:tcPr>
            <w:tcW w:w="7740" w:type="dxa"/>
          </w:tcPr>
          <w:p w:rsidR="005D0E36" w:rsidRDefault="005D0E36" w:rsidP="005D0E36">
            <w:pPr>
              <w:rPr>
                <w:lang w:val="en"/>
              </w:rPr>
            </w:pPr>
            <w:r>
              <w:rPr>
                <w:rFonts w:hint="eastAsia"/>
                <w:lang w:val="en"/>
              </w:rPr>
              <w:t>T</w:t>
            </w:r>
            <w:r>
              <w:rPr>
                <w:lang w:val="en"/>
              </w:rPr>
              <w:t xml:space="preserve">his ensures that, upon request/termination/expiry of the Agreement the Organisation’s Confidential Information is dealt with in a manner which will not compromise its confidentiality. </w:t>
            </w:r>
            <w:r>
              <w:rPr>
                <w:rFonts w:hint="eastAsia"/>
                <w:lang w:val="en"/>
              </w:rPr>
              <w:t>I</w:t>
            </w:r>
            <w:r>
              <w:rPr>
                <w:lang w:val="en"/>
              </w:rPr>
              <w:t>f personal information is not returned or destroyed, an Organisation may breach the Information Privacy Principles in the PDP Act.</w:t>
            </w:r>
          </w:p>
        </w:tc>
      </w:tr>
      <w:tr w:rsidR="004F4B40" w:rsidRPr="00830F87" w:rsidTr="00254E96">
        <w:tc>
          <w:tcPr>
            <w:tcW w:w="1497" w:type="dxa"/>
          </w:tcPr>
          <w:p w:rsidR="005D0E36" w:rsidRDefault="005D0E36" w:rsidP="005D0E36">
            <w:r>
              <w:t>21.7</w:t>
            </w:r>
          </w:p>
        </w:tc>
        <w:tc>
          <w:tcPr>
            <w:tcW w:w="1440" w:type="dxa"/>
          </w:tcPr>
          <w:p w:rsidR="005D0E36" w:rsidRDefault="005D0E36" w:rsidP="005D0E36">
            <w:r>
              <w:t>23.7</w:t>
            </w:r>
          </w:p>
        </w:tc>
        <w:tc>
          <w:tcPr>
            <w:tcW w:w="3780" w:type="dxa"/>
          </w:tcPr>
          <w:p w:rsidR="005D0E36" w:rsidRPr="004B3582" w:rsidRDefault="005D0E36" w:rsidP="005D0E36">
            <w:r w:rsidRPr="004B3582">
              <w:t>The Supplier's privacy obligations have been expanded</w:t>
            </w:r>
            <w:r>
              <w:t>.</w:t>
            </w:r>
          </w:p>
          <w:p w:rsidR="005D0E36" w:rsidRDefault="005D0E36" w:rsidP="005D0E36">
            <w:r w:rsidRPr="004B3582">
              <w:t>A reference to the Health Privacy Principles has been included</w:t>
            </w:r>
            <w:r>
              <w:t>.</w:t>
            </w:r>
          </w:p>
        </w:tc>
        <w:tc>
          <w:tcPr>
            <w:tcW w:w="7740" w:type="dxa"/>
          </w:tcPr>
          <w:p w:rsidR="005D0E36" w:rsidRPr="004B3582" w:rsidRDefault="005D0E36" w:rsidP="005D0E36">
            <w:r w:rsidRPr="004B3582">
              <w:t xml:space="preserve">The Supplier must agree to comply with privacy related directions provided by the Organisation or an applicable regulator, as well as co-operate with the Organisation regarding breach of an applicable privacy obligation. </w:t>
            </w:r>
          </w:p>
          <w:p w:rsidR="005D0E36" w:rsidRDefault="005D0E36" w:rsidP="005D0E36">
            <w:r w:rsidRPr="004B3582">
              <w:t>A number of specific obligations and restrictions have been placed on the Supplier regarding its use of Personal Information di</w:t>
            </w:r>
            <w:r>
              <w:t xml:space="preserve">sclosed to it by the Supplier. </w:t>
            </w:r>
            <w:r w:rsidRPr="004B3582">
              <w:t xml:space="preserve">This addresses specific issues which are necessary to ensure compliance by the Organisation with the Information Privacy Principles and the Health Privacy Principles. </w:t>
            </w:r>
          </w:p>
          <w:p w:rsidR="005D0E36" w:rsidRDefault="005D0E36" w:rsidP="005D0E36">
            <w:pPr>
              <w:rPr>
                <w:lang w:val="en"/>
              </w:rPr>
            </w:pPr>
            <w:r w:rsidRPr="004B3582">
              <w:t>Additional warranties which should be sought where a third party collects personal information on behalf of the</w:t>
            </w:r>
            <w:r>
              <w:t xml:space="preserve"> State have not been included. </w:t>
            </w:r>
            <w:r w:rsidRPr="004B3582">
              <w:t>The Guidance Notes provide further information about what may be required in these circumstances.</w:t>
            </w:r>
          </w:p>
        </w:tc>
      </w:tr>
      <w:tr w:rsidR="004F4B40" w:rsidRPr="00830F87" w:rsidTr="00254E96">
        <w:tc>
          <w:tcPr>
            <w:tcW w:w="1497" w:type="dxa"/>
          </w:tcPr>
          <w:p w:rsidR="005D0E36" w:rsidRPr="004B3582" w:rsidRDefault="005D0E36" w:rsidP="005D0E36">
            <w:r>
              <w:t>21.8</w:t>
            </w:r>
          </w:p>
        </w:tc>
        <w:tc>
          <w:tcPr>
            <w:tcW w:w="1440" w:type="dxa"/>
          </w:tcPr>
          <w:p w:rsidR="005D0E36" w:rsidRPr="004B3582" w:rsidRDefault="005D0E36" w:rsidP="005D0E36">
            <w:r>
              <w:t>23.8</w:t>
            </w:r>
          </w:p>
        </w:tc>
        <w:tc>
          <w:tcPr>
            <w:tcW w:w="3780" w:type="dxa"/>
          </w:tcPr>
          <w:p w:rsidR="005D0E36" w:rsidRPr="004B3582" w:rsidRDefault="005D0E36" w:rsidP="005D0E36">
            <w:r w:rsidRPr="004B3582">
              <w:t>The requirements regarding the Protective Data Security Standards have been included</w:t>
            </w:r>
            <w:r>
              <w:t>.</w:t>
            </w:r>
          </w:p>
        </w:tc>
        <w:tc>
          <w:tcPr>
            <w:tcW w:w="7740" w:type="dxa"/>
          </w:tcPr>
          <w:p w:rsidR="005D0E36" w:rsidRPr="004B3582" w:rsidRDefault="005D0E36" w:rsidP="005D0E36">
            <w:pPr>
              <w:rPr>
                <w:highlight w:val="yellow"/>
              </w:rPr>
            </w:pPr>
            <w:r w:rsidRPr="004B3582">
              <w:t xml:space="preserve">The Supplier will not do any act or engage in any practice that contravenes a Protective Data Security Standard </w:t>
            </w:r>
            <w:r w:rsidRPr="004B3582">
              <w:rPr>
                <w:i/>
              </w:rPr>
              <w:t>or would give rise to a contravention of a Protective Data Security Standard by the Organisation</w:t>
            </w:r>
            <w:r w:rsidRPr="004B3582">
              <w:t xml:space="preserve">. This provides a safeguard for the Organisation.  </w:t>
            </w:r>
          </w:p>
        </w:tc>
      </w:tr>
      <w:tr w:rsidR="005D0E36" w:rsidRPr="00830F87" w:rsidTr="004F4B40">
        <w:tc>
          <w:tcPr>
            <w:tcW w:w="14457" w:type="dxa"/>
            <w:gridSpan w:val="4"/>
            <w:shd w:val="clear" w:color="auto" w:fill="F2F2F2" w:themeFill="background1" w:themeFillShade="F2"/>
          </w:tcPr>
          <w:p w:rsidR="005D0E36" w:rsidRPr="00161AF5" w:rsidRDefault="005D0E36" w:rsidP="005D0E36">
            <w:pPr>
              <w:pStyle w:val="Heading4"/>
              <w:outlineLvl w:val="3"/>
              <w:rPr>
                <w:lang w:val="en"/>
              </w:rPr>
            </w:pPr>
            <w:r>
              <w:rPr>
                <w:lang w:val="en"/>
              </w:rPr>
              <w:t>Liability</w:t>
            </w:r>
          </w:p>
        </w:tc>
      </w:tr>
      <w:tr w:rsidR="004F4B40" w:rsidRPr="00830F87" w:rsidTr="00254E96">
        <w:tc>
          <w:tcPr>
            <w:tcW w:w="1497" w:type="dxa"/>
          </w:tcPr>
          <w:p w:rsidR="005D0E36" w:rsidRPr="004B3582" w:rsidRDefault="005D0E36" w:rsidP="005D0E36">
            <w:r>
              <w:t>22(a) and (b)</w:t>
            </w:r>
          </w:p>
        </w:tc>
        <w:tc>
          <w:tcPr>
            <w:tcW w:w="1440" w:type="dxa"/>
          </w:tcPr>
          <w:p w:rsidR="005D0E36" w:rsidRPr="004B3582" w:rsidRDefault="005D0E36" w:rsidP="005D0E36">
            <w:r>
              <w:t>23(a) and (b)</w:t>
            </w:r>
          </w:p>
        </w:tc>
        <w:tc>
          <w:tcPr>
            <w:tcW w:w="3780" w:type="dxa"/>
          </w:tcPr>
          <w:p w:rsidR="005D0E36" w:rsidRPr="004B3582" w:rsidRDefault="005D0E36" w:rsidP="005D0E36">
            <w:r w:rsidRPr="004D4F6A">
              <w:t>The indemnities have been updated to address specific issues that are within the Supplier's control</w:t>
            </w:r>
            <w:r>
              <w:t>.</w:t>
            </w:r>
          </w:p>
        </w:tc>
        <w:tc>
          <w:tcPr>
            <w:tcW w:w="7740" w:type="dxa"/>
          </w:tcPr>
          <w:p w:rsidR="005D0E36" w:rsidRDefault="005D0E36" w:rsidP="005D0E36">
            <w:r w:rsidRPr="004B3582">
              <w:t xml:space="preserve">The previous indemnities were extremely broad and may not have been accepted by some suppliers (particularly if the result was to leave the supplier uninsured for those events under the terms of its insurance policies). The previous indemnities may have </w:t>
            </w:r>
            <w:r>
              <w:t xml:space="preserve"> also </w:t>
            </w:r>
            <w:r w:rsidRPr="004B3582">
              <w:t xml:space="preserve">constituted unfair contract terms under the </w:t>
            </w:r>
            <w:r w:rsidRPr="004B3582">
              <w:rPr>
                <w:i/>
              </w:rPr>
              <w:t xml:space="preserve">Australian Consumer Law and Fair Trading Act </w:t>
            </w:r>
            <w:r w:rsidRPr="005D0E36">
              <w:rPr>
                <w:i/>
              </w:rPr>
              <w:t>2012</w:t>
            </w:r>
            <w:r w:rsidRPr="004B3582">
              <w:t xml:space="preserve"> (Vic). </w:t>
            </w:r>
          </w:p>
          <w:p w:rsidR="005D0E36" w:rsidRPr="004B3582" w:rsidRDefault="005D0E36" w:rsidP="005D0E36">
            <w:r>
              <w:t>The Agreement</w:t>
            </w:r>
            <w:r w:rsidRPr="004B3582">
              <w:t xml:space="preserve"> has been updated to refer to specific types of loss which ought to be at the Supplier's risk.</w:t>
            </w:r>
          </w:p>
          <w:p w:rsidR="005D0E36" w:rsidRPr="004B3582" w:rsidRDefault="005D0E36" w:rsidP="005D0E36">
            <w:pPr>
              <w:rPr>
                <w:lang w:val="en"/>
              </w:rPr>
            </w:pPr>
            <w:r w:rsidRPr="004B3582">
              <w:t xml:space="preserve">The Supplier's liability under the indemnity is reduced to the extent that the relevant loss is caused by negligence or other wrongful act or omission of the indemnified parties (i.e. the </w:t>
            </w:r>
            <w:r>
              <w:t>Organisation and its Personnel</w:t>
            </w:r>
            <w:r w:rsidRPr="004B3582">
              <w:t>).</w:t>
            </w:r>
          </w:p>
        </w:tc>
      </w:tr>
      <w:tr w:rsidR="004F4B40" w:rsidRPr="00830F87" w:rsidTr="00254E96">
        <w:tc>
          <w:tcPr>
            <w:tcW w:w="1497" w:type="dxa"/>
          </w:tcPr>
          <w:p w:rsidR="005D0E36" w:rsidRPr="004B3582" w:rsidRDefault="005D0E36" w:rsidP="005D0E36">
            <w:r>
              <w:t>22(e) and (f)</w:t>
            </w:r>
          </w:p>
        </w:tc>
        <w:tc>
          <w:tcPr>
            <w:tcW w:w="1440" w:type="dxa"/>
          </w:tcPr>
          <w:p w:rsidR="005D0E36" w:rsidRPr="004B3582" w:rsidRDefault="005D0E36" w:rsidP="005D0E36">
            <w:r>
              <w:t>24(e) and (f)</w:t>
            </w:r>
          </w:p>
        </w:tc>
        <w:tc>
          <w:tcPr>
            <w:tcW w:w="3780" w:type="dxa"/>
          </w:tcPr>
          <w:p w:rsidR="005D0E36" w:rsidRPr="004B3582" w:rsidRDefault="005D0E36" w:rsidP="005D0E36">
            <w:r w:rsidRPr="004B3582">
              <w:t>A short form clause has been included which allows the Supplier to conduct</w:t>
            </w:r>
            <w:r>
              <w:t xml:space="preserve"> Intellectual Property Rights (</w:t>
            </w:r>
            <w:r w:rsidRPr="004B3582">
              <w:t>IPR</w:t>
            </w:r>
            <w:r>
              <w:t>)</w:t>
            </w:r>
            <w:r w:rsidRPr="004B3582">
              <w:t xml:space="preserve"> claims on behalf of the Organisation, subject to compliance with all applicable Government policies (including the model litigant guidelines) and the Organisation's directions</w:t>
            </w:r>
            <w:r>
              <w:t>.</w:t>
            </w:r>
          </w:p>
        </w:tc>
        <w:tc>
          <w:tcPr>
            <w:tcW w:w="7740" w:type="dxa"/>
          </w:tcPr>
          <w:p w:rsidR="005D0E36" w:rsidRDefault="005D0E36" w:rsidP="005D0E36">
            <w:r w:rsidRPr="004B3582">
              <w:t>The new provisions allow Organisations to have the choice to all</w:t>
            </w:r>
            <w:r>
              <w:t>ow the Supplier to conduct IPR c</w:t>
            </w:r>
            <w:r w:rsidRPr="004B3582">
              <w:t>laims on its behalf. The Organisation retains control as it may take back control of the claim at any time and the Supplier may not settle the claim without the Organisation's consent.</w:t>
            </w:r>
          </w:p>
          <w:p w:rsidR="005D0E36" w:rsidRPr="004B3582" w:rsidRDefault="005D0E36" w:rsidP="005D0E36">
            <w:pPr>
              <w:rPr>
                <w:lang w:val="en"/>
              </w:rPr>
            </w:pPr>
            <w:r>
              <w:t>An IPR claim involves a that the receipt and use of the Goods violates the Intellectual Propert</w:t>
            </w:r>
            <w:r>
              <w:rPr>
                <w:rFonts w:hint="eastAsia"/>
              </w:rPr>
              <w:t>y</w:t>
            </w:r>
            <w:r>
              <w:t xml:space="preserve"> Rights, Moral Rights or any other rights of a third party.  </w:t>
            </w:r>
          </w:p>
        </w:tc>
      </w:tr>
      <w:tr w:rsidR="005D0E36" w:rsidRPr="00830F87" w:rsidTr="004F4B40">
        <w:tc>
          <w:tcPr>
            <w:tcW w:w="14457" w:type="dxa"/>
            <w:gridSpan w:val="4"/>
            <w:shd w:val="clear" w:color="auto" w:fill="F2F2F2" w:themeFill="background1" w:themeFillShade="F2"/>
          </w:tcPr>
          <w:p w:rsidR="005D0E36" w:rsidRPr="00161AF5" w:rsidRDefault="005D0E36" w:rsidP="005D0E36">
            <w:pPr>
              <w:pStyle w:val="Heading4"/>
              <w:outlineLvl w:val="3"/>
              <w:rPr>
                <w:lang w:val="en"/>
              </w:rPr>
            </w:pPr>
            <w:r>
              <w:rPr>
                <w:lang w:val="en"/>
              </w:rPr>
              <w:lastRenderedPageBreak/>
              <w:t>Representations and warranties</w:t>
            </w:r>
          </w:p>
        </w:tc>
      </w:tr>
      <w:tr w:rsidR="004F4B40" w:rsidRPr="00830F87" w:rsidTr="00254E96">
        <w:tc>
          <w:tcPr>
            <w:tcW w:w="1497" w:type="dxa"/>
          </w:tcPr>
          <w:p w:rsidR="005D0E36" w:rsidRPr="004B3582" w:rsidRDefault="005D0E36" w:rsidP="005D0E36">
            <w:r>
              <w:t>23</w:t>
            </w:r>
          </w:p>
        </w:tc>
        <w:tc>
          <w:tcPr>
            <w:tcW w:w="1440" w:type="dxa"/>
          </w:tcPr>
          <w:p w:rsidR="005D0E36" w:rsidRPr="004B3582" w:rsidRDefault="005D0E36" w:rsidP="005D0E36">
            <w:r>
              <w:t>25</w:t>
            </w:r>
          </w:p>
        </w:tc>
        <w:tc>
          <w:tcPr>
            <w:tcW w:w="3780" w:type="dxa"/>
          </w:tcPr>
          <w:p w:rsidR="005D0E36" w:rsidRPr="004B3582" w:rsidRDefault="005D0E36" w:rsidP="005D0E36">
            <w:r>
              <w:t>Updated warranties.</w:t>
            </w:r>
          </w:p>
        </w:tc>
        <w:tc>
          <w:tcPr>
            <w:tcW w:w="7740" w:type="dxa"/>
          </w:tcPr>
          <w:p w:rsidR="005D0E36" w:rsidRPr="004B3582" w:rsidRDefault="005D0E36" w:rsidP="005D0E36">
            <w:pPr>
              <w:rPr>
                <w:lang w:val="en"/>
              </w:rPr>
            </w:pPr>
            <w:r>
              <w:rPr>
                <w:rFonts w:hint="eastAsia"/>
                <w:lang w:val="en"/>
              </w:rPr>
              <w:t>T</w:t>
            </w:r>
            <w:r>
              <w:rPr>
                <w:lang w:val="en"/>
              </w:rPr>
              <w:t>he warranties are more comprehensive, providing increased safeguards for the Organisation.</w:t>
            </w:r>
          </w:p>
        </w:tc>
      </w:tr>
      <w:tr w:rsidR="004F4B40" w:rsidRPr="00830F87" w:rsidTr="00254E96">
        <w:tc>
          <w:tcPr>
            <w:tcW w:w="1497" w:type="dxa"/>
          </w:tcPr>
          <w:p w:rsidR="005D0E36" w:rsidRDefault="005D0E36" w:rsidP="005D0E36">
            <w:r>
              <w:t>23(k)</w:t>
            </w:r>
          </w:p>
        </w:tc>
        <w:tc>
          <w:tcPr>
            <w:tcW w:w="1440" w:type="dxa"/>
          </w:tcPr>
          <w:p w:rsidR="005D0E36" w:rsidRDefault="005D0E36" w:rsidP="005D0E36">
            <w:r>
              <w:t>25(k)</w:t>
            </w:r>
          </w:p>
        </w:tc>
        <w:tc>
          <w:tcPr>
            <w:tcW w:w="3780" w:type="dxa"/>
          </w:tcPr>
          <w:p w:rsidR="005D0E36" w:rsidRDefault="005D0E36" w:rsidP="005D0E36">
            <w:r>
              <w:rPr>
                <w:rFonts w:hint="eastAsia"/>
              </w:rPr>
              <w:t>N</w:t>
            </w:r>
            <w:r>
              <w:t>ew warranties where the Supplier is entering the Agreement on behalf of a Trust.</w:t>
            </w:r>
          </w:p>
        </w:tc>
        <w:tc>
          <w:tcPr>
            <w:tcW w:w="7740" w:type="dxa"/>
          </w:tcPr>
          <w:p w:rsidR="005D0E36" w:rsidRDefault="005D0E36" w:rsidP="005D0E36">
            <w:pPr>
              <w:rPr>
                <w:lang w:val="en"/>
              </w:rPr>
            </w:pPr>
            <w:r>
              <w:rPr>
                <w:rFonts w:hint="eastAsia"/>
                <w:lang w:val="en"/>
              </w:rPr>
              <w:t>W</w:t>
            </w:r>
            <w:r>
              <w:rPr>
                <w:lang w:val="en"/>
              </w:rPr>
              <w:t xml:space="preserve">here the Supplier is entering the Agreement on behalf of a Trust (as specified in </w:t>
            </w:r>
            <w:r w:rsidR="004F4B40">
              <w:rPr>
                <w:lang w:val="en"/>
              </w:rPr>
              <w:t>Item </w:t>
            </w:r>
            <w:r>
              <w:rPr>
                <w:lang w:val="en"/>
              </w:rPr>
              <w:t>10 of Schedule 1), these warranties will apply.</w:t>
            </w:r>
          </w:p>
        </w:tc>
      </w:tr>
      <w:tr w:rsidR="004F4B40" w:rsidRPr="00830F87" w:rsidTr="00254E96">
        <w:tc>
          <w:tcPr>
            <w:tcW w:w="1497" w:type="dxa"/>
          </w:tcPr>
          <w:p w:rsidR="005D0E36" w:rsidRDefault="005D0E36" w:rsidP="005D0E36">
            <w:r>
              <w:t>24(d)</w:t>
            </w:r>
          </w:p>
        </w:tc>
        <w:tc>
          <w:tcPr>
            <w:tcW w:w="1440" w:type="dxa"/>
          </w:tcPr>
          <w:p w:rsidR="005D0E36" w:rsidRDefault="005D0E36" w:rsidP="005D0E36">
            <w:r>
              <w:t>26(d)</w:t>
            </w:r>
          </w:p>
        </w:tc>
        <w:tc>
          <w:tcPr>
            <w:tcW w:w="3780" w:type="dxa"/>
          </w:tcPr>
          <w:p w:rsidR="005D0E36" w:rsidRDefault="005D0E36" w:rsidP="005D0E36">
            <w:r w:rsidRPr="004B3582">
              <w:t>Amended so that the obligation on the Supplier to provide the Organisation with evidence of the currency of replacement insurance only applies on request by an Organisation</w:t>
            </w:r>
            <w:r>
              <w:t>.</w:t>
            </w:r>
          </w:p>
        </w:tc>
        <w:tc>
          <w:tcPr>
            <w:tcW w:w="7740" w:type="dxa"/>
          </w:tcPr>
          <w:p w:rsidR="005D0E36" w:rsidRDefault="005D0E36" w:rsidP="005D0E36">
            <w:pPr>
              <w:rPr>
                <w:lang w:val="en"/>
              </w:rPr>
            </w:pPr>
            <w:r w:rsidRPr="004B3582">
              <w:t>This amendment makes the term less onerous for Suppliers.</w:t>
            </w:r>
            <w:r>
              <w:t xml:space="preserve"> </w:t>
            </w:r>
            <w:r w:rsidRPr="004B3582">
              <w:t>Many insurance policies contain a provision which states that the terms of the policy may not be disclosed.</w:t>
            </w:r>
          </w:p>
        </w:tc>
      </w:tr>
      <w:tr w:rsidR="00254E96" w:rsidRPr="00830F87" w:rsidTr="00254E96">
        <w:tc>
          <w:tcPr>
            <w:tcW w:w="1497" w:type="dxa"/>
          </w:tcPr>
          <w:p w:rsidR="005D0E36" w:rsidRPr="004B3582" w:rsidRDefault="005D0E36" w:rsidP="005D0E36">
            <w:r>
              <w:t>24(e)</w:t>
            </w:r>
          </w:p>
        </w:tc>
        <w:tc>
          <w:tcPr>
            <w:tcW w:w="1440" w:type="dxa"/>
          </w:tcPr>
          <w:p w:rsidR="005D0E36" w:rsidRPr="004B3582" w:rsidRDefault="005D0E36" w:rsidP="005D0E36">
            <w:r>
              <w:t>26(e)</w:t>
            </w:r>
          </w:p>
        </w:tc>
        <w:tc>
          <w:tcPr>
            <w:tcW w:w="3780" w:type="dxa"/>
          </w:tcPr>
          <w:p w:rsidR="005D0E36" w:rsidRPr="004B3582" w:rsidRDefault="005D0E36" w:rsidP="005D0E36">
            <w:r w:rsidRPr="004B3582">
              <w:t xml:space="preserve">Amended so that it only applies if it is selected as </w:t>
            </w:r>
            <w:r>
              <w:t xml:space="preserve">an option in </w:t>
            </w:r>
            <w:r w:rsidR="004F4B40">
              <w:t>Item </w:t>
            </w:r>
            <w:r>
              <w:t>12 of Schedule 1 (</w:t>
            </w:r>
            <w:r w:rsidRPr="004B3582">
              <w:t>one-off purchase</w:t>
            </w:r>
            <w:r>
              <w:t xml:space="preserve">) or </w:t>
            </w:r>
            <w:r w:rsidR="004F4B40">
              <w:t>Item </w:t>
            </w:r>
            <w:r>
              <w:t>11 of Schedule 1 (multiple purchase</w:t>
            </w:r>
            <w:r w:rsidRPr="004B3582">
              <w:t>) that the insurance must be taken out with an insurer acceptable to the Organisation and on terms acceptable to the Organisation</w:t>
            </w:r>
            <w:r>
              <w:t>.</w:t>
            </w:r>
          </w:p>
        </w:tc>
        <w:tc>
          <w:tcPr>
            <w:tcW w:w="7740" w:type="dxa"/>
          </w:tcPr>
          <w:p w:rsidR="005D0E36" w:rsidRPr="004B3582" w:rsidRDefault="005D0E36" w:rsidP="005D0E36">
            <w:pPr>
              <w:rPr>
                <w:lang w:val="en"/>
              </w:rPr>
            </w:pPr>
            <w:r w:rsidRPr="004B3582">
              <w:t xml:space="preserve">This amendment makes the </w:t>
            </w:r>
            <w:r>
              <w:t>clause</w:t>
            </w:r>
            <w:r w:rsidRPr="004B3582">
              <w:t xml:space="preserve"> less onerous for Suppliers.</w:t>
            </w:r>
          </w:p>
        </w:tc>
      </w:tr>
      <w:tr w:rsidR="005D0E36" w:rsidRPr="00830F87" w:rsidTr="004F4B40">
        <w:tc>
          <w:tcPr>
            <w:tcW w:w="14457" w:type="dxa"/>
            <w:gridSpan w:val="4"/>
            <w:shd w:val="clear" w:color="auto" w:fill="F2F2F2" w:themeFill="background1" w:themeFillShade="F2"/>
          </w:tcPr>
          <w:p w:rsidR="005D0E36" w:rsidRPr="00161AF5" w:rsidRDefault="005D0E36" w:rsidP="005D0E36">
            <w:pPr>
              <w:pStyle w:val="Heading4"/>
              <w:outlineLvl w:val="3"/>
              <w:rPr>
                <w:lang w:val="en"/>
              </w:rPr>
            </w:pPr>
            <w:r>
              <w:rPr>
                <w:lang w:val="en"/>
              </w:rPr>
              <w:t>Term and termination</w:t>
            </w:r>
          </w:p>
        </w:tc>
      </w:tr>
      <w:tr w:rsidR="00254E96" w:rsidRPr="00830F87" w:rsidTr="00254E96">
        <w:tc>
          <w:tcPr>
            <w:tcW w:w="1497" w:type="dxa"/>
          </w:tcPr>
          <w:p w:rsidR="005D0E36" w:rsidRPr="004B3582" w:rsidRDefault="005D0E36" w:rsidP="005D0E36">
            <w:r>
              <w:t>26</w:t>
            </w:r>
          </w:p>
        </w:tc>
        <w:tc>
          <w:tcPr>
            <w:tcW w:w="1440" w:type="dxa"/>
          </w:tcPr>
          <w:p w:rsidR="005D0E36" w:rsidRPr="004B3582" w:rsidRDefault="005D0E36" w:rsidP="005D0E36">
            <w:r>
              <w:t>28</w:t>
            </w:r>
          </w:p>
        </w:tc>
        <w:tc>
          <w:tcPr>
            <w:tcW w:w="3780" w:type="dxa"/>
          </w:tcPr>
          <w:p w:rsidR="005D0E36" w:rsidRPr="004B3582" w:rsidRDefault="005D0E36" w:rsidP="005D0E36">
            <w:r>
              <w:rPr>
                <w:rFonts w:hint="eastAsia"/>
              </w:rPr>
              <w:t>A</w:t>
            </w:r>
            <w:r>
              <w:t xml:space="preserve"> new clause has been included (one-off purchase) and the existing clause has been amended (multiple purchase) setting out the duration of the Agreement and allowing for an extension of the Term.</w:t>
            </w:r>
          </w:p>
        </w:tc>
        <w:tc>
          <w:tcPr>
            <w:tcW w:w="7740" w:type="dxa"/>
          </w:tcPr>
          <w:p w:rsidR="005D0E36" w:rsidRPr="004B3582" w:rsidRDefault="005D0E36" w:rsidP="005D0E36">
            <w:pPr>
              <w:rPr>
                <w:lang w:val="en"/>
              </w:rPr>
            </w:pPr>
            <w:r w:rsidRPr="004B3582">
              <w:t xml:space="preserve">This allows </w:t>
            </w:r>
            <w:r>
              <w:t>the Organisation to extend the T</w:t>
            </w:r>
            <w:r w:rsidRPr="004B3582">
              <w:t xml:space="preserve">erm for pre-agreed periods (e.g. 3 years + 1 + 1). Previously, the </w:t>
            </w:r>
            <w:r>
              <w:t>Term</w:t>
            </w:r>
            <w:r w:rsidRPr="004B3582">
              <w:t xml:space="preserve"> could only be extended following a delay.</w:t>
            </w:r>
          </w:p>
        </w:tc>
      </w:tr>
      <w:tr w:rsidR="004F4B40" w:rsidRPr="00830F87" w:rsidTr="00254E96">
        <w:tc>
          <w:tcPr>
            <w:tcW w:w="1497" w:type="dxa"/>
          </w:tcPr>
          <w:p w:rsidR="005D0E36" w:rsidRDefault="005D0E36" w:rsidP="005D0E36">
            <w:r>
              <w:t>27.1</w:t>
            </w:r>
          </w:p>
        </w:tc>
        <w:tc>
          <w:tcPr>
            <w:tcW w:w="1440" w:type="dxa"/>
          </w:tcPr>
          <w:p w:rsidR="005D0E36" w:rsidRDefault="005D0E36" w:rsidP="005D0E36">
            <w:r>
              <w:t>29.1</w:t>
            </w:r>
          </w:p>
        </w:tc>
        <w:tc>
          <w:tcPr>
            <w:tcW w:w="3780" w:type="dxa"/>
          </w:tcPr>
          <w:p w:rsidR="005D0E36" w:rsidRDefault="005D0E36" w:rsidP="005D0E36">
            <w:r>
              <w:t>The clause regarding the Organisation’s rights to terminate for cause have been updated.</w:t>
            </w:r>
          </w:p>
        </w:tc>
        <w:tc>
          <w:tcPr>
            <w:tcW w:w="7740" w:type="dxa"/>
          </w:tcPr>
          <w:p w:rsidR="005D0E36" w:rsidRPr="004B3582" w:rsidRDefault="005D0E36" w:rsidP="005D0E36">
            <w:r w:rsidRPr="004B3582">
              <w:t xml:space="preserve">The clauses relating to termination for breach have been updated to remove any reference to correcting breaches to the "satisfaction of the Organisation", so than an objective standard applies regarding whether a breach can be remedied. </w:t>
            </w:r>
          </w:p>
          <w:p w:rsidR="005D0E36" w:rsidRPr="004B3582" w:rsidRDefault="005D0E36" w:rsidP="005D0E36">
            <w:r w:rsidRPr="004B3582">
              <w:t xml:space="preserve">The termination right regarding "damage to reputation" has been narrowed as follows: </w:t>
            </w:r>
            <w:r w:rsidRPr="005D0E36">
              <w:rPr>
                <w:i/>
              </w:rPr>
              <w:t>if the Supplier commits any act or does anything that may be prejudicial or otherwise detrimental to the reputation of the State</w:t>
            </w:r>
            <w:r w:rsidRPr="004B3582">
              <w:t>.</w:t>
            </w:r>
          </w:p>
          <w:p w:rsidR="005D0E36" w:rsidRPr="004B3582" w:rsidRDefault="005D0E36" w:rsidP="005D0E36">
            <w:r w:rsidRPr="004B3582">
              <w:t>The right to terminate for change in control has been deleted, as th</w:t>
            </w:r>
            <w:r>
              <w:t>is is dealt with in clause 15 (one-off purchase) and clause 17</w:t>
            </w:r>
            <w:r w:rsidRPr="004B3582">
              <w:t xml:space="preserve"> (</w:t>
            </w:r>
            <w:r>
              <w:t>multiple purchase</w:t>
            </w:r>
            <w:r w:rsidRPr="004B3582">
              <w:t>).</w:t>
            </w:r>
          </w:p>
        </w:tc>
      </w:tr>
      <w:tr w:rsidR="004F4B40" w:rsidRPr="00830F87" w:rsidTr="00254E96">
        <w:tc>
          <w:tcPr>
            <w:tcW w:w="1497" w:type="dxa"/>
          </w:tcPr>
          <w:p w:rsidR="005D0E36" w:rsidRDefault="005D0E36" w:rsidP="005D0E36">
            <w:r>
              <w:lastRenderedPageBreak/>
              <w:t>27.2</w:t>
            </w:r>
          </w:p>
        </w:tc>
        <w:tc>
          <w:tcPr>
            <w:tcW w:w="1440" w:type="dxa"/>
          </w:tcPr>
          <w:p w:rsidR="005D0E36" w:rsidRDefault="005D0E36" w:rsidP="005D0E36">
            <w:r>
              <w:t>29.2</w:t>
            </w:r>
          </w:p>
        </w:tc>
        <w:tc>
          <w:tcPr>
            <w:tcW w:w="3780" w:type="dxa"/>
          </w:tcPr>
          <w:p w:rsidR="005D0E36" w:rsidRDefault="005D0E36" w:rsidP="005D0E36">
            <w:r w:rsidRPr="004B3582">
              <w:t>The Organisation will pay early termination costs to the Supplier if it terminates the Agreement for its convenience, to be calculated using the formulation set out in the clause.</w:t>
            </w:r>
          </w:p>
        </w:tc>
        <w:tc>
          <w:tcPr>
            <w:tcW w:w="7740" w:type="dxa"/>
          </w:tcPr>
          <w:p w:rsidR="005D0E36" w:rsidRPr="004B3582" w:rsidRDefault="005D0E36" w:rsidP="005D0E36">
            <w:r w:rsidRPr="004B3582">
              <w:t xml:space="preserve">Termination will take effect upon receipt of the notice or such later date as specified in the notice. </w:t>
            </w:r>
          </w:p>
          <w:p w:rsidR="005D0E36" w:rsidRPr="004B3582" w:rsidRDefault="005D0E36" w:rsidP="005D0E36">
            <w:r w:rsidRPr="004B3582">
              <w:t xml:space="preserve">This provision has been updated to state that early termination costs will be payable by the Organisation if it terminates for convenience. The Organisation must pay the unavoidable and substantiated costs incurred by the Supplier as a direct result of the termination, excluding any loss of profit, but including the cost of any Goods provided up to the date of termination. This is to reduce the risk that the right to terminate for convenience is viewed as an unfair contract term under the </w:t>
            </w:r>
            <w:r w:rsidRPr="004B3582">
              <w:rPr>
                <w:i/>
              </w:rPr>
              <w:t>Australian Consumer Law and Fair Trading Act 2012</w:t>
            </w:r>
            <w:r w:rsidRPr="004B3582">
              <w:t xml:space="preserve"> (Vic). </w:t>
            </w:r>
          </w:p>
          <w:p w:rsidR="005D0E36" w:rsidRPr="004B3582" w:rsidRDefault="005D0E36" w:rsidP="005D0E36">
            <w:r w:rsidRPr="004B3582">
              <w:t>The Supplier must do everything possible to mitigate its losses arising from termination.</w:t>
            </w:r>
          </w:p>
        </w:tc>
      </w:tr>
      <w:tr w:rsidR="004F4B40" w:rsidRPr="00830F87" w:rsidTr="00254E96">
        <w:tc>
          <w:tcPr>
            <w:tcW w:w="1497" w:type="dxa"/>
          </w:tcPr>
          <w:p w:rsidR="005D0E36" w:rsidRPr="004B3582" w:rsidRDefault="005D0E36" w:rsidP="005D0E36">
            <w:r>
              <w:t>27.3</w:t>
            </w:r>
          </w:p>
        </w:tc>
        <w:tc>
          <w:tcPr>
            <w:tcW w:w="1440" w:type="dxa"/>
          </w:tcPr>
          <w:p w:rsidR="005D0E36" w:rsidRPr="004B3582" w:rsidRDefault="005D0E36" w:rsidP="005D0E36">
            <w:r>
              <w:t>29.3</w:t>
            </w:r>
          </w:p>
        </w:tc>
        <w:tc>
          <w:tcPr>
            <w:tcW w:w="3780" w:type="dxa"/>
          </w:tcPr>
          <w:p w:rsidR="005D0E36" w:rsidRPr="004B3582" w:rsidRDefault="005D0E36" w:rsidP="005D0E36">
            <w:r w:rsidRPr="004B3582">
              <w:t>The Supplier may terminate the Agreement for non-payment by the Organisation only</w:t>
            </w:r>
            <w:r>
              <w:t>.</w:t>
            </w:r>
          </w:p>
        </w:tc>
        <w:tc>
          <w:tcPr>
            <w:tcW w:w="7740" w:type="dxa"/>
          </w:tcPr>
          <w:p w:rsidR="005D0E36" w:rsidRPr="004B3582" w:rsidRDefault="005D0E36" w:rsidP="005D0E36">
            <w:r w:rsidRPr="004B3582">
              <w:t>Additional notice requirements are specified in the clause, which the Supplier must comply with before it is able to terminate the Agreement.</w:t>
            </w:r>
          </w:p>
          <w:p w:rsidR="005D0E36" w:rsidRPr="004B3582" w:rsidRDefault="005D0E36" w:rsidP="005D0E36">
            <w:pPr>
              <w:rPr>
                <w:lang w:val="en"/>
              </w:rPr>
            </w:pPr>
            <w:r w:rsidRPr="004B3582">
              <w:t>Generally, the Organisation's primary obligation is to pay the Purchase Price when due. Other non-compliance by an Organisation should not prevent the Supplier from continuing to provide the Goods, and the Supplier is</w:t>
            </w:r>
            <w:r>
              <w:t xml:space="preserve"> able to</w:t>
            </w:r>
            <w:r w:rsidRPr="004B3582">
              <w:t xml:space="preserve"> pursue any remedies available to it at law or under the dispute resolution mechanism.</w:t>
            </w:r>
          </w:p>
        </w:tc>
      </w:tr>
      <w:tr w:rsidR="004F4B40" w:rsidRPr="00830F87" w:rsidTr="00254E96">
        <w:tc>
          <w:tcPr>
            <w:tcW w:w="1497" w:type="dxa"/>
          </w:tcPr>
          <w:p w:rsidR="005D0E36" w:rsidRDefault="005D0E36" w:rsidP="005D0E36">
            <w:r>
              <w:t>27.4(b)</w:t>
            </w:r>
          </w:p>
        </w:tc>
        <w:tc>
          <w:tcPr>
            <w:tcW w:w="1440" w:type="dxa"/>
          </w:tcPr>
          <w:p w:rsidR="005D0E36" w:rsidRDefault="005D0E36" w:rsidP="005D0E36">
            <w:r>
              <w:t>29.3(b)</w:t>
            </w:r>
          </w:p>
        </w:tc>
        <w:tc>
          <w:tcPr>
            <w:tcW w:w="3780" w:type="dxa"/>
          </w:tcPr>
          <w:p w:rsidR="005D0E36" w:rsidRPr="004B3582" w:rsidRDefault="005D0E36" w:rsidP="005D0E36">
            <w:r w:rsidRPr="004B3582">
              <w:t>All of the Organisation's Data and Confidential Information must be returned or destroyed (at the Organisation's election) upon termination or expiry</w:t>
            </w:r>
            <w:r>
              <w:t>.</w:t>
            </w:r>
          </w:p>
        </w:tc>
        <w:tc>
          <w:tcPr>
            <w:tcW w:w="7740" w:type="dxa"/>
          </w:tcPr>
          <w:p w:rsidR="005D0E36" w:rsidRPr="004B3582" w:rsidRDefault="005D0E36" w:rsidP="005D0E36">
            <w:r w:rsidRPr="004B3582">
              <w:t xml:space="preserve">Materials must be returned to the Organisation in the format in which they were first provided by the Organisation and, in addition, if required by the Organisation, in a non-proprietary and open access file format. </w:t>
            </w:r>
          </w:p>
          <w:p w:rsidR="005D0E36" w:rsidRPr="004B3582" w:rsidRDefault="005D0E36" w:rsidP="005D0E36">
            <w:r w:rsidRPr="004B3582">
              <w:t>If personal information is not returned or destroyed, an Organisation may breach the Information Privacy Principles in the PDP Act.</w:t>
            </w:r>
          </w:p>
        </w:tc>
      </w:tr>
      <w:tr w:rsidR="005D0E36" w:rsidRPr="00830F87" w:rsidTr="004F4B40">
        <w:tc>
          <w:tcPr>
            <w:tcW w:w="14457" w:type="dxa"/>
            <w:gridSpan w:val="4"/>
            <w:shd w:val="clear" w:color="auto" w:fill="F2F2F2" w:themeFill="background1" w:themeFillShade="F2"/>
          </w:tcPr>
          <w:p w:rsidR="005D0E36" w:rsidRPr="00161AF5" w:rsidRDefault="005D0E36" w:rsidP="004F4B40">
            <w:pPr>
              <w:pStyle w:val="Heading4"/>
              <w:outlineLvl w:val="3"/>
              <w:rPr>
                <w:lang w:val="en"/>
              </w:rPr>
            </w:pPr>
            <w:r>
              <w:rPr>
                <w:lang w:val="en"/>
              </w:rPr>
              <w:lastRenderedPageBreak/>
              <w:t>Other miscellaneous terms</w:t>
            </w:r>
          </w:p>
        </w:tc>
      </w:tr>
      <w:tr w:rsidR="004F4B40" w:rsidRPr="00830F87" w:rsidTr="00254E96">
        <w:tc>
          <w:tcPr>
            <w:tcW w:w="1497" w:type="dxa"/>
          </w:tcPr>
          <w:p w:rsidR="005D0E36" w:rsidRPr="004B3582" w:rsidRDefault="005D0E36" w:rsidP="005D0E36">
            <w:r>
              <w:t>28.11</w:t>
            </w:r>
          </w:p>
        </w:tc>
        <w:tc>
          <w:tcPr>
            <w:tcW w:w="1440" w:type="dxa"/>
          </w:tcPr>
          <w:p w:rsidR="005D0E36" w:rsidRPr="004B3582" w:rsidRDefault="005D0E36" w:rsidP="005D0E36">
            <w:r>
              <w:t>30.11</w:t>
            </w:r>
          </w:p>
        </w:tc>
        <w:tc>
          <w:tcPr>
            <w:tcW w:w="3780" w:type="dxa"/>
          </w:tcPr>
          <w:p w:rsidR="005D0E36" w:rsidRPr="004B3582" w:rsidRDefault="005D0E36" w:rsidP="005D0E36">
            <w:r w:rsidRPr="004B3582">
              <w:t>An order of precedence has been included</w:t>
            </w:r>
            <w:r>
              <w:t>.</w:t>
            </w:r>
          </w:p>
        </w:tc>
        <w:tc>
          <w:tcPr>
            <w:tcW w:w="7740" w:type="dxa"/>
          </w:tcPr>
          <w:p w:rsidR="005D0E36" w:rsidRPr="004B3582" w:rsidRDefault="005D0E36" w:rsidP="005D0E36">
            <w:r w:rsidRPr="004B3582">
              <w:t>An order of precedence was included as optional wording in Schedule 2</w:t>
            </w:r>
            <w:r>
              <w:t>. T</w:t>
            </w:r>
            <w:r w:rsidRPr="004B3582">
              <w:t>his has been inserted into the terms and conditions to ensure that it</w:t>
            </w:r>
            <w:r>
              <w:t xml:space="preserve"> is included in each instance. </w:t>
            </w:r>
            <w:r w:rsidRPr="004B3582">
              <w:t xml:space="preserve">This changes the position previously set out in Schedule 2, which stated that the Supplier's Offer took precedence over the State's Invitation to Supply.  </w:t>
            </w:r>
          </w:p>
          <w:p w:rsidR="005D0E36" w:rsidRPr="004B3582" w:rsidRDefault="005D0E36" w:rsidP="005D0E36">
            <w:r w:rsidRPr="004B3582">
              <w:t xml:space="preserve">Ideally, neither the Invitation or the Offer will be attached to, or incorporated by </w:t>
            </w:r>
            <w:r>
              <w:t xml:space="preserve">reference into, the agreement. </w:t>
            </w:r>
            <w:r w:rsidRPr="004B3582">
              <w:t>The preferred approach is for the Organisation to create a description of the Goods based upon its requirements in the market approach documentatio</w:t>
            </w:r>
            <w:r>
              <w:t xml:space="preserve">n. </w:t>
            </w:r>
            <w:r w:rsidRPr="004B3582">
              <w:t>The description of the Goods in the market approach documentation should be updated to (a) remove any instructions to tenderers, (b) reflect any non-compliances raised by the preferred tenderer in its Offer and accepted by the Organisation and (c) include any additional Goods offered by the preferred tenderer in its Offer.</w:t>
            </w:r>
          </w:p>
          <w:p w:rsidR="005D0E36" w:rsidRPr="004B3582" w:rsidRDefault="005D0E36" w:rsidP="005D0E36">
            <w:r w:rsidRPr="004B3582">
              <w:t xml:space="preserve">Further information is provided in the Guidance Notes regarding how to draft an appropriate Goods description. </w:t>
            </w:r>
          </w:p>
          <w:p w:rsidR="005D0E36" w:rsidRPr="004B3582" w:rsidRDefault="005D0E36" w:rsidP="005D0E36">
            <w:r w:rsidRPr="004B3582">
              <w:t>If an Organisation does not wish to take this approach and will incorporate the Offer and Invitation, the Invi</w:t>
            </w:r>
            <w:r>
              <w:t xml:space="preserve">tation should take precedence. </w:t>
            </w:r>
            <w:r w:rsidRPr="004B3582">
              <w:t xml:space="preserve">Whist the Offer is "later in time", the Offer may not respond to all aspects of the Organisation's requirements in the Invitation. If the Offer takes precedence over the Invitation, this creates a risk that the aspects of the Goods which are not expressly described in the Offer are viewed as out of scope.  </w:t>
            </w:r>
          </w:p>
          <w:p w:rsidR="005D0E36" w:rsidRPr="004B3582" w:rsidRDefault="005D0E36" w:rsidP="005D0E36">
            <w:pPr>
              <w:rPr>
                <w:lang w:val="en"/>
              </w:rPr>
            </w:pPr>
            <w:r w:rsidRPr="004B3582">
              <w:t>This approach also has the effect of overriding Supplier assumptions which are inconsistent with the Invitation.</w:t>
            </w:r>
          </w:p>
        </w:tc>
      </w:tr>
      <w:tr w:rsidR="004F4B40" w:rsidRPr="00830F87" w:rsidTr="00254E96">
        <w:tc>
          <w:tcPr>
            <w:tcW w:w="1497" w:type="dxa"/>
          </w:tcPr>
          <w:p w:rsidR="005D0E36" w:rsidRPr="004B3582" w:rsidRDefault="005D0E36" w:rsidP="005D0E36">
            <w:r>
              <w:t>28</w:t>
            </w:r>
            <w:r w:rsidRPr="004B3582">
              <w:t>.12(b)</w:t>
            </w:r>
          </w:p>
        </w:tc>
        <w:tc>
          <w:tcPr>
            <w:tcW w:w="1440" w:type="dxa"/>
          </w:tcPr>
          <w:p w:rsidR="005D0E36" w:rsidRPr="004B3582" w:rsidRDefault="005D0E36" w:rsidP="005D0E36">
            <w:r>
              <w:t>30</w:t>
            </w:r>
            <w:r w:rsidRPr="004B3582">
              <w:t>.12(b)</w:t>
            </w:r>
          </w:p>
        </w:tc>
        <w:tc>
          <w:tcPr>
            <w:tcW w:w="3780" w:type="dxa"/>
          </w:tcPr>
          <w:p w:rsidR="005D0E36" w:rsidRPr="004B3582" w:rsidRDefault="005D0E36" w:rsidP="005D0E36">
            <w:r w:rsidRPr="004B3582">
              <w:t>New clause inserted to state that the Supplier is engaged as an independent contractor</w:t>
            </w:r>
            <w:r>
              <w:t>.</w:t>
            </w:r>
          </w:p>
        </w:tc>
        <w:tc>
          <w:tcPr>
            <w:tcW w:w="7740" w:type="dxa"/>
          </w:tcPr>
          <w:p w:rsidR="005D0E36" w:rsidRPr="004B3582" w:rsidRDefault="005D0E36" w:rsidP="005D0E36">
            <w:r w:rsidRPr="004B3582">
              <w:t>Ensures it is clear that the Supplier is not engaged as an employee of the Organisation.</w:t>
            </w:r>
          </w:p>
        </w:tc>
      </w:tr>
      <w:tr w:rsidR="005D0E36" w:rsidRPr="00830F87" w:rsidTr="004F4B40">
        <w:tc>
          <w:tcPr>
            <w:tcW w:w="14457" w:type="dxa"/>
            <w:gridSpan w:val="4"/>
            <w:shd w:val="clear" w:color="auto" w:fill="F2F2F2" w:themeFill="background1" w:themeFillShade="F2"/>
          </w:tcPr>
          <w:p w:rsidR="005D0E36" w:rsidRPr="00C5170D" w:rsidRDefault="005D0E36" w:rsidP="005D0E36">
            <w:pPr>
              <w:pStyle w:val="Heading4"/>
              <w:outlineLvl w:val="3"/>
            </w:pPr>
            <w:r>
              <w:t>Schedules</w:t>
            </w:r>
          </w:p>
        </w:tc>
      </w:tr>
      <w:tr w:rsidR="004F4B40" w:rsidRPr="00830F87" w:rsidTr="00254E96">
        <w:tc>
          <w:tcPr>
            <w:tcW w:w="1497" w:type="dxa"/>
          </w:tcPr>
          <w:p w:rsidR="005D0E36" w:rsidRPr="004B3582" w:rsidRDefault="005D0E36" w:rsidP="005D0E36">
            <w:r w:rsidRPr="004B3582">
              <w:t>Schedule 1</w:t>
            </w:r>
          </w:p>
        </w:tc>
        <w:tc>
          <w:tcPr>
            <w:tcW w:w="1440" w:type="dxa"/>
          </w:tcPr>
          <w:p w:rsidR="005D0E36" w:rsidRPr="004B3582" w:rsidRDefault="005D0E36" w:rsidP="005D0E36">
            <w:r w:rsidRPr="004B3582">
              <w:t>Schedule 1</w:t>
            </w:r>
          </w:p>
        </w:tc>
        <w:tc>
          <w:tcPr>
            <w:tcW w:w="3780" w:type="dxa"/>
          </w:tcPr>
          <w:p w:rsidR="005D0E36" w:rsidRPr="004B3582" w:rsidRDefault="005D0E36" w:rsidP="005D0E36">
            <w:r w:rsidRPr="004B3582">
              <w:t>Tick boxes included for optional items</w:t>
            </w:r>
            <w:r>
              <w:t>.</w:t>
            </w:r>
          </w:p>
        </w:tc>
        <w:tc>
          <w:tcPr>
            <w:tcW w:w="7740" w:type="dxa"/>
          </w:tcPr>
          <w:p w:rsidR="005D0E36" w:rsidRPr="004B3582" w:rsidRDefault="005D0E36" w:rsidP="005D0E36">
            <w:r w:rsidRPr="004B3582">
              <w:t>Allows the Organisation to specify when certain items apply.</w:t>
            </w:r>
          </w:p>
        </w:tc>
      </w:tr>
      <w:tr w:rsidR="004F4B40" w:rsidRPr="00830F87" w:rsidTr="00254E96">
        <w:tc>
          <w:tcPr>
            <w:tcW w:w="1497" w:type="dxa"/>
          </w:tcPr>
          <w:p w:rsidR="005D0E36" w:rsidRPr="004B3582" w:rsidRDefault="005D0E36" w:rsidP="005D0E36">
            <w:r w:rsidRPr="004B3582">
              <w:t>Schedule 1</w:t>
            </w:r>
          </w:p>
        </w:tc>
        <w:tc>
          <w:tcPr>
            <w:tcW w:w="1440" w:type="dxa"/>
          </w:tcPr>
          <w:p w:rsidR="005D0E36" w:rsidRPr="004B3582" w:rsidRDefault="005D0E36" w:rsidP="005D0E36">
            <w:r w:rsidRPr="004B3582">
              <w:t>Schedule 1</w:t>
            </w:r>
          </w:p>
        </w:tc>
        <w:tc>
          <w:tcPr>
            <w:tcW w:w="3780" w:type="dxa"/>
          </w:tcPr>
          <w:p w:rsidR="005D0E36" w:rsidRPr="004B3582" w:rsidRDefault="005D0E36" w:rsidP="005D0E36">
            <w:r w:rsidRPr="004B3582">
              <w:t>Items have been included to reflect new clauses that have been inserted in the Agreement</w:t>
            </w:r>
            <w:r>
              <w:t>.</w:t>
            </w:r>
          </w:p>
        </w:tc>
        <w:tc>
          <w:tcPr>
            <w:tcW w:w="7740" w:type="dxa"/>
          </w:tcPr>
          <w:p w:rsidR="005D0E36" w:rsidRPr="004B3582" w:rsidRDefault="005D0E36" w:rsidP="005D0E36">
            <w:r w:rsidRPr="004B3582">
              <w:t>New concepts included in the Schedule.</w:t>
            </w:r>
          </w:p>
        </w:tc>
      </w:tr>
      <w:tr w:rsidR="004F4B40" w:rsidRPr="00830F87" w:rsidTr="00254E96">
        <w:tc>
          <w:tcPr>
            <w:tcW w:w="1497" w:type="dxa"/>
          </w:tcPr>
          <w:p w:rsidR="005D0E36" w:rsidRPr="004B3582" w:rsidRDefault="005D0E36" w:rsidP="00254E96">
            <w:pPr>
              <w:keepNext/>
            </w:pPr>
            <w:r w:rsidRPr="004B3582">
              <w:t xml:space="preserve">Schedule 1, </w:t>
            </w:r>
            <w:r w:rsidR="004F4B40">
              <w:t>Item </w:t>
            </w:r>
            <w:r w:rsidRPr="004B3582">
              <w:t>6</w:t>
            </w:r>
          </w:p>
        </w:tc>
        <w:tc>
          <w:tcPr>
            <w:tcW w:w="1440" w:type="dxa"/>
          </w:tcPr>
          <w:p w:rsidR="005D0E36" w:rsidRPr="004B3582" w:rsidRDefault="005D0E36" w:rsidP="005D0E36">
            <w:r w:rsidRPr="004B3582">
              <w:t xml:space="preserve">Schedule 1, </w:t>
            </w:r>
            <w:r w:rsidR="004F4B40">
              <w:t>Item </w:t>
            </w:r>
            <w:r w:rsidRPr="004B3582">
              <w:t>6</w:t>
            </w:r>
          </w:p>
        </w:tc>
        <w:tc>
          <w:tcPr>
            <w:tcW w:w="3780" w:type="dxa"/>
          </w:tcPr>
          <w:p w:rsidR="005D0E36" w:rsidRPr="004B3582" w:rsidRDefault="005D0E36" w:rsidP="005D0E36">
            <w:r w:rsidRPr="004B3582">
              <w:t>Amended to remove payment by cheque as an option</w:t>
            </w:r>
            <w:r>
              <w:t>.</w:t>
            </w:r>
          </w:p>
        </w:tc>
        <w:tc>
          <w:tcPr>
            <w:tcW w:w="7740" w:type="dxa"/>
          </w:tcPr>
          <w:p w:rsidR="005D0E36" w:rsidRPr="004B3582" w:rsidRDefault="005D0E36" w:rsidP="005D0E36">
            <w:r w:rsidRPr="004B3582">
              <w:t>The Guidance Not</w:t>
            </w:r>
            <w:r>
              <w:t>es state that payment is to be b</w:t>
            </w:r>
            <w:r w:rsidRPr="004B3582">
              <w:t>y electronic methods wherever possible.</w:t>
            </w:r>
          </w:p>
        </w:tc>
      </w:tr>
      <w:tr w:rsidR="004F4B40" w:rsidRPr="00830F87" w:rsidTr="00254E96">
        <w:tc>
          <w:tcPr>
            <w:tcW w:w="1497" w:type="dxa"/>
          </w:tcPr>
          <w:p w:rsidR="005D0E36" w:rsidRPr="004B3582" w:rsidRDefault="005D0E36" w:rsidP="005D0E36">
            <w:r w:rsidRPr="004B3582">
              <w:t>Schedule 3</w:t>
            </w:r>
          </w:p>
        </w:tc>
        <w:tc>
          <w:tcPr>
            <w:tcW w:w="1440" w:type="dxa"/>
          </w:tcPr>
          <w:p w:rsidR="005D0E36" w:rsidRPr="004B3582" w:rsidRDefault="005D0E36" w:rsidP="005D0E36">
            <w:r w:rsidRPr="004B3582">
              <w:t>Schedule 3</w:t>
            </w:r>
          </w:p>
        </w:tc>
        <w:tc>
          <w:tcPr>
            <w:tcW w:w="3780" w:type="dxa"/>
          </w:tcPr>
          <w:p w:rsidR="005D0E36" w:rsidRPr="004B3582" w:rsidRDefault="005D0E36" w:rsidP="005D0E36">
            <w:r w:rsidRPr="004B3582">
              <w:t>Amended to provide an optional section for Service Credits</w:t>
            </w:r>
            <w:r>
              <w:t>.</w:t>
            </w:r>
          </w:p>
        </w:tc>
        <w:tc>
          <w:tcPr>
            <w:tcW w:w="7740" w:type="dxa"/>
          </w:tcPr>
          <w:p w:rsidR="005D0E36" w:rsidRPr="004B3582" w:rsidRDefault="005D0E36" w:rsidP="005D0E36">
            <w:r w:rsidRPr="004B3582">
              <w:t xml:space="preserve">Service Credits will be payable for failure by the Supplier to meet a Service Level Requirement. This section is optional as not all Organisations will wish to include Service Credits. </w:t>
            </w:r>
          </w:p>
        </w:tc>
      </w:tr>
    </w:tbl>
    <w:p w:rsidR="007C0913" w:rsidRPr="005D0E36" w:rsidRDefault="007C0913" w:rsidP="005D0E36"/>
    <w:sectPr w:rsidR="007C0913" w:rsidRPr="005D0E36" w:rsidSect="00254E96">
      <w:footerReference w:type="even" r:id="rId9"/>
      <w:footerReference w:type="default" r:id="rId10"/>
      <w:headerReference w:type="first" r:id="rId11"/>
      <w:footerReference w:type="first" r:id="rId12"/>
      <w:pgSz w:w="16838" w:h="11906" w:orient="landscape" w:code="9"/>
      <w:pgMar w:top="1080" w:right="1224" w:bottom="1080" w:left="1224" w:header="706"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129" w:rsidRDefault="00860129" w:rsidP="002D711A">
      <w:pPr>
        <w:spacing w:after="0" w:line="240" w:lineRule="auto"/>
      </w:pPr>
      <w:r>
        <w:separator/>
      </w:r>
    </w:p>
  </w:endnote>
  <w:endnote w:type="continuationSeparator" w:id="0">
    <w:p w:rsidR="00860129" w:rsidRDefault="00860129"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C63" w:rsidRDefault="009D1C63" w:rsidP="009D1C63">
    <w:pPr>
      <w:pStyle w:val="Spacer"/>
    </w:pPr>
  </w:p>
  <w:p w:rsidR="009872F6" w:rsidRPr="009872F6" w:rsidRDefault="009D1C63" w:rsidP="009322FC">
    <w:pPr>
      <w:pStyle w:val="Footer"/>
      <w:tabs>
        <w:tab w:val="clear" w:pos="14760"/>
        <w:tab w:val="right" w:pos="13950"/>
      </w:tabs>
      <w:ind w:left="-630" w:right="8"/>
    </w:pPr>
    <w:r w:rsidRPr="00FE12DF">
      <w:rPr>
        <w:rStyle w:val="PageNumber"/>
        <w:color w:val="000000"/>
      </w:rPr>
      <w:fldChar w:fldCharType="begin"/>
    </w:r>
    <w:r w:rsidRPr="00FE12DF">
      <w:rPr>
        <w:rStyle w:val="PageNumber"/>
        <w:color w:val="000000"/>
      </w:rPr>
      <w:instrText xml:space="preserve"> Page </w:instrText>
    </w:r>
    <w:r w:rsidRPr="00FE12DF">
      <w:rPr>
        <w:rStyle w:val="PageNumber"/>
        <w:color w:val="000000"/>
      </w:rPr>
      <w:fldChar w:fldCharType="separate"/>
    </w:r>
    <w:r w:rsidR="005D0E36">
      <w:rPr>
        <w:rStyle w:val="PageNumber"/>
        <w:color w:val="000000"/>
      </w:rPr>
      <w:t>12</w:t>
    </w:r>
    <w:r w:rsidRPr="00FE12DF">
      <w:rPr>
        <w:rStyle w:val="PageNumber"/>
        <w:color w:val="000000"/>
      </w:rPr>
      <w:fldChar w:fldCharType="end"/>
    </w:r>
    <w:r>
      <w:rPr>
        <w:rStyle w:val="PageNumber"/>
      </w:rPr>
      <w:tab/>
    </w:r>
    <w:r w:rsidR="009872F6" w:rsidRPr="009872F6">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7C3" w:rsidRDefault="00F417C3" w:rsidP="004F4B40">
    <w:pPr>
      <w:pStyle w:val="Spacer"/>
      <w:spacing w:line="240" w:lineRule="auto"/>
    </w:pPr>
  </w:p>
  <w:p w:rsidR="00F417C3" w:rsidRPr="00C022F9" w:rsidRDefault="00F417C3" w:rsidP="004F4B40">
    <w:pPr>
      <w:pStyle w:val="Footer"/>
      <w:tabs>
        <w:tab w:val="clear" w:pos="14760"/>
        <w:tab w:val="right" w:pos="14400"/>
      </w:tabs>
      <w:ind w:right="-778"/>
    </w:pPr>
    <w:r w:rsidRPr="00116DFE">
      <w:rPr>
        <w:b/>
        <w:noProof w:val="0"/>
      </w:rPr>
      <w:fldChar w:fldCharType="begin"/>
    </w:r>
    <w:r w:rsidRPr="00116DFE">
      <w:rPr>
        <w:b/>
      </w:rPr>
      <w:instrText xml:space="preserve"> StyleRef “</w:instrText>
    </w:r>
    <w:r w:rsidR="005D0E36">
      <w:rPr>
        <w:b/>
      </w:rPr>
      <w:instrText>Table header</w:instrText>
    </w:r>
    <w:r w:rsidRPr="00116DFE">
      <w:rPr>
        <w:b/>
      </w:rPr>
      <w:instrText xml:space="preserve">” </w:instrText>
    </w:r>
    <w:r w:rsidRPr="00116DFE">
      <w:rPr>
        <w:b/>
        <w:noProof w:val="0"/>
      </w:rPr>
      <w:fldChar w:fldCharType="separate"/>
    </w:r>
    <w:r w:rsidR="006B5385">
      <w:rPr>
        <w:b/>
      </w:rPr>
      <w:t>Agreement for the supply of Goods (One-off purchase and Multiple purchase)</w:t>
    </w:r>
    <w:r w:rsidRPr="00116DFE">
      <w:rPr>
        <w:b/>
      </w:rPr>
      <w:fldChar w:fldCharType="end"/>
    </w:r>
    <w:r w:rsidR="006738C4">
      <w:tab/>
    </w:r>
    <w:r w:rsidRPr="00116DFE">
      <w:rPr>
        <w:rStyle w:val="PageNumber"/>
        <w:color w:val="000000"/>
      </w:rPr>
      <w:fldChar w:fldCharType="begin"/>
    </w:r>
    <w:r w:rsidRPr="00116DFE">
      <w:rPr>
        <w:rStyle w:val="PageNumber"/>
        <w:color w:val="000000"/>
      </w:rPr>
      <w:instrText xml:space="preserve"> Page </w:instrText>
    </w:r>
    <w:r w:rsidRPr="00116DFE">
      <w:rPr>
        <w:rStyle w:val="PageNumber"/>
        <w:color w:val="000000"/>
      </w:rPr>
      <w:fldChar w:fldCharType="separate"/>
    </w:r>
    <w:r w:rsidR="006B5385">
      <w:rPr>
        <w:rStyle w:val="PageNumber"/>
        <w:color w:val="000000"/>
      </w:rPr>
      <w:t>11</w:t>
    </w:r>
    <w:r w:rsidRPr="00116DFE">
      <w:rPr>
        <w:rStyle w:val="PageNumber"/>
        <w:color w:val="00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B40" w:rsidRDefault="004F4B40" w:rsidP="004F4B40">
    <w:pPr>
      <w:pStyle w:val="Spacer"/>
    </w:pPr>
  </w:p>
  <w:p w:rsidR="004F4B40" w:rsidRPr="00C022F9" w:rsidRDefault="004F4B40" w:rsidP="004F4B40">
    <w:pPr>
      <w:pStyle w:val="Footer"/>
      <w:tabs>
        <w:tab w:val="clear" w:pos="14760"/>
        <w:tab w:val="right" w:pos="14400"/>
      </w:tabs>
    </w:pPr>
    <w:r w:rsidRPr="00116DFE">
      <w:rPr>
        <w:b/>
        <w:noProof w:val="0"/>
      </w:rPr>
      <w:fldChar w:fldCharType="begin"/>
    </w:r>
    <w:r w:rsidRPr="00116DFE">
      <w:rPr>
        <w:b/>
      </w:rPr>
      <w:instrText xml:space="preserve"> StyleRef “</w:instrText>
    </w:r>
    <w:r>
      <w:rPr>
        <w:b/>
      </w:rPr>
      <w:instrText>Table header</w:instrText>
    </w:r>
    <w:r w:rsidRPr="00116DFE">
      <w:rPr>
        <w:b/>
      </w:rPr>
      <w:instrText xml:space="preserve">” </w:instrText>
    </w:r>
    <w:r w:rsidRPr="00116DFE">
      <w:rPr>
        <w:b/>
        <w:noProof w:val="0"/>
      </w:rPr>
      <w:fldChar w:fldCharType="separate"/>
    </w:r>
    <w:r w:rsidR="006B5385">
      <w:rPr>
        <w:b/>
      </w:rPr>
      <w:t>Agreement for the supply of Goods (One-off purchase and Multiple purchase)</w:t>
    </w:r>
    <w:r w:rsidRPr="00116DFE">
      <w:rPr>
        <w:b/>
      </w:rPr>
      <w:fldChar w:fldCharType="end"/>
    </w:r>
    <w:r>
      <w:tab/>
    </w:r>
    <w:r w:rsidRPr="00116DFE">
      <w:rPr>
        <w:rStyle w:val="PageNumber"/>
        <w:color w:val="000000"/>
      </w:rPr>
      <w:fldChar w:fldCharType="begin"/>
    </w:r>
    <w:r w:rsidRPr="00116DFE">
      <w:rPr>
        <w:rStyle w:val="PageNumber"/>
        <w:color w:val="000000"/>
      </w:rPr>
      <w:instrText xml:space="preserve"> Page </w:instrText>
    </w:r>
    <w:r w:rsidRPr="00116DFE">
      <w:rPr>
        <w:rStyle w:val="PageNumber"/>
        <w:color w:val="000000"/>
      </w:rPr>
      <w:fldChar w:fldCharType="separate"/>
    </w:r>
    <w:r w:rsidR="006B5385">
      <w:rPr>
        <w:rStyle w:val="PageNumber"/>
        <w:color w:val="000000"/>
      </w:rPr>
      <w:t>1</w:t>
    </w:r>
    <w:r w:rsidRPr="00116DFE">
      <w:rPr>
        <w:rStyle w:val="PageNumbe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129" w:rsidRDefault="00860129" w:rsidP="002D711A">
      <w:pPr>
        <w:spacing w:after="0" w:line="240" w:lineRule="auto"/>
      </w:pPr>
      <w:r>
        <w:separator/>
      </w:r>
    </w:p>
  </w:footnote>
  <w:footnote w:type="continuationSeparator" w:id="0">
    <w:p w:rsidR="00860129" w:rsidRDefault="00860129" w:rsidP="002D71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E36" w:rsidRDefault="005D0E36">
    <w:pPr>
      <w:pStyle w:val="Header"/>
    </w:pPr>
    <w:r>
      <w:rPr>
        <w:noProof/>
      </w:rPr>
      <mc:AlternateContent>
        <mc:Choice Requires="wpg">
          <w:drawing>
            <wp:anchor distT="0" distB="0" distL="114300" distR="114300" simplePos="0" relativeHeight="251682816" behindDoc="0" locked="0" layoutInCell="1" allowOverlap="1" wp14:anchorId="0CF9A0F3" wp14:editId="5FA032D0">
              <wp:simplePos x="0" y="0"/>
              <wp:positionH relativeFrom="page">
                <wp:posOffset>0</wp:posOffset>
              </wp:positionH>
              <wp:positionV relativeFrom="paragraph">
                <wp:posOffset>-398476</wp:posOffset>
              </wp:positionV>
              <wp:extent cx="10789920" cy="530225"/>
              <wp:effectExtent l="0" t="0" r="0" b="3175"/>
              <wp:wrapNone/>
              <wp:docPr id="1" name="Group 1"/>
              <wp:cNvGraphicFramePr/>
              <a:graphic xmlns:a="http://schemas.openxmlformats.org/drawingml/2006/main">
                <a:graphicData uri="http://schemas.microsoft.com/office/word/2010/wordprocessingGroup">
                  <wpg:wgp>
                    <wpg:cNvGrpSpPr/>
                    <wpg:grpSpPr>
                      <a:xfrm>
                        <a:off x="0" y="0"/>
                        <a:ext cx="10789920" cy="530225"/>
                        <a:chOff x="0" y="0"/>
                        <a:chExt cx="10789920" cy="530225"/>
                      </a:xfrm>
                    </wpg:grpSpPr>
                    <wps:wsp>
                      <wps:cNvPr id="12" name="Rectangle 12"/>
                      <wps:cNvSpPr>
                        <a:spLocks noChangeArrowheads="1"/>
                      </wps:cNvSpPr>
                      <wps:spPr bwMode="auto">
                        <a:xfrm>
                          <a:off x="8229600" y="0"/>
                          <a:ext cx="2560320" cy="530225"/>
                        </a:xfrm>
                        <a:prstGeom prst="rect">
                          <a:avLst/>
                        </a:prstGeom>
                        <a:solidFill>
                          <a:srgbClr val="E9E9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3"/>
                      <wps:cNvSpPr>
                        <a:spLocks noChangeArrowheads="1"/>
                      </wps:cNvSpPr>
                      <wps:spPr bwMode="auto">
                        <a:xfrm>
                          <a:off x="0" y="0"/>
                          <a:ext cx="2560320" cy="530225"/>
                        </a:xfrm>
                        <a:prstGeom prst="rect">
                          <a:avLst/>
                        </a:prstGeom>
                        <a:solidFill>
                          <a:srgbClr val="85080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Freeform 22"/>
                      <wps:cNvSpPr>
                        <a:spLocks noEditPoints="1"/>
                      </wps:cNvSpPr>
                      <wps:spPr bwMode="auto">
                        <a:xfrm>
                          <a:off x="5442509" y="0"/>
                          <a:ext cx="522605" cy="530225"/>
                        </a:xfrm>
                        <a:custGeom>
                          <a:avLst/>
                          <a:gdLst>
                            <a:gd name="T0" fmla="*/ 824 w 824"/>
                            <a:gd name="T1" fmla="*/ 0 h 835"/>
                            <a:gd name="T2" fmla="*/ 0 w 824"/>
                            <a:gd name="T3" fmla="*/ 0 h 835"/>
                            <a:gd name="T4" fmla="*/ 400 w 824"/>
                            <a:gd name="T5" fmla="*/ 835 h 835"/>
                            <a:gd name="T6" fmla="*/ 423 w 824"/>
                            <a:gd name="T7" fmla="*/ 835 h 835"/>
                            <a:gd name="T8" fmla="*/ 824 w 824"/>
                            <a:gd name="T9" fmla="*/ 0 h 835"/>
                            <a:gd name="T10" fmla="*/ 824 w 824"/>
                            <a:gd name="T11" fmla="*/ 0 h 835"/>
                            <a:gd name="T12" fmla="*/ 824 w 824"/>
                            <a:gd name="T13" fmla="*/ 0 h 835"/>
                          </a:gdLst>
                          <a:ahLst/>
                          <a:cxnLst>
                            <a:cxn ang="0">
                              <a:pos x="T0" y="T1"/>
                            </a:cxn>
                            <a:cxn ang="0">
                              <a:pos x="T2" y="T3"/>
                            </a:cxn>
                            <a:cxn ang="0">
                              <a:pos x="T4" y="T5"/>
                            </a:cxn>
                            <a:cxn ang="0">
                              <a:pos x="T6" y="T7"/>
                            </a:cxn>
                            <a:cxn ang="0">
                              <a:pos x="T8" y="T9"/>
                            </a:cxn>
                            <a:cxn ang="0">
                              <a:pos x="T10" y="T11"/>
                            </a:cxn>
                            <a:cxn ang="0">
                              <a:pos x="T12" y="T13"/>
                            </a:cxn>
                          </a:cxnLst>
                          <a:rect l="0" t="0" r="r" b="b"/>
                          <a:pathLst>
                            <a:path w="824" h="835">
                              <a:moveTo>
                                <a:pt x="824" y="0"/>
                              </a:moveTo>
                              <a:lnTo>
                                <a:pt x="0" y="0"/>
                              </a:lnTo>
                              <a:lnTo>
                                <a:pt x="400" y="835"/>
                              </a:lnTo>
                              <a:lnTo>
                                <a:pt x="423" y="835"/>
                              </a:lnTo>
                              <a:lnTo>
                                <a:pt x="824" y="0"/>
                              </a:lnTo>
                              <a:close/>
                              <a:moveTo>
                                <a:pt x="824" y="0"/>
                              </a:moveTo>
                              <a:lnTo>
                                <a:pt x="824" y="0"/>
                              </a:lnTo>
                              <a:close/>
                            </a:path>
                          </a:pathLst>
                        </a:custGeom>
                        <a:solidFill>
                          <a:srgbClr val="9C68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24"/>
                      <wps:cNvSpPr>
                        <a:spLocks/>
                      </wps:cNvSpPr>
                      <wps:spPr bwMode="auto">
                        <a:xfrm>
                          <a:off x="4806086" y="0"/>
                          <a:ext cx="900430" cy="530225"/>
                        </a:xfrm>
                        <a:custGeom>
                          <a:avLst/>
                          <a:gdLst>
                            <a:gd name="T0" fmla="*/ 1019 w 1419"/>
                            <a:gd name="T1" fmla="*/ 0 h 835"/>
                            <a:gd name="T2" fmla="*/ 0 w 1419"/>
                            <a:gd name="T3" fmla="*/ 0 h 835"/>
                            <a:gd name="T4" fmla="*/ 401 w 1419"/>
                            <a:gd name="T5" fmla="*/ 835 h 835"/>
                            <a:gd name="T6" fmla="*/ 1419 w 1419"/>
                            <a:gd name="T7" fmla="*/ 835 h 835"/>
                            <a:gd name="T8" fmla="*/ 1019 w 1419"/>
                            <a:gd name="T9" fmla="*/ 0 h 835"/>
                          </a:gdLst>
                          <a:ahLst/>
                          <a:cxnLst>
                            <a:cxn ang="0">
                              <a:pos x="T0" y="T1"/>
                            </a:cxn>
                            <a:cxn ang="0">
                              <a:pos x="T2" y="T3"/>
                            </a:cxn>
                            <a:cxn ang="0">
                              <a:pos x="T4" y="T5"/>
                            </a:cxn>
                            <a:cxn ang="0">
                              <a:pos x="T6" y="T7"/>
                            </a:cxn>
                            <a:cxn ang="0">
                              <a:pos x="T8" y="T9"/>
                            </a:cxn>
                          </a:cxnLst>
                          <a:rect l="0" t="0" r="r" b="b"/>
                          <a:pathLst>
                            <a:path w="1419" h="835">
                              <a:moveTo>
                                <a:pt x="1019" y="0"/>
                              </a:moveTo>
                              <a:lnTo>
                                <a:pt x="0" y="0"/>
                              </a:lnTo>
                              <a:lnTo>
                                <a:pt x="401" y="835"/>
                              </a:lnTo>
                              <a:lnTo>
                                <a:pt x="1419" y="835"/>
                              </a:lnTo>
                              <a:lnTo>
                                <a:pt x="1019" y="0"/>
                              </a:lnTo>
                              <a:close/>
                            </a:path>
                          </a:pathLst>
                        </a:custGeom>
                        <a:solidFill>
                          <a:srgbClr val="5D19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7"/>
                      <wps:cNvSpPr>
                        <a:spLocks/>
                      </wps:cNvSpPr>
                      <wps:spPr bwMode="auto">
                        <a:xfrm>
                          <a:off x="2311603" y="0"/>
                          <a:ext cx="2761615" cy="530225"/>
                        </a:xfrm>
                        <a:custGeom>
                          <a:avLst/>
                          <a:gdLst>
                            <a:gd name="T0" fmla="*/ 4352 w 4352"/>
                            <a:gd name="T1" fmla="*/ 865 h 865"/>
                            <a:gd name="T2" fmla="*/ 378 w 4352"/>
                            <a:gd name="T3" fmla="*/ 865 h 865"/>
                            <a:gd name="T4" fmla="*/ 0 w 4352"/>
                            <a:gd name="T5" fmla="*/ 0 h 865"/>
                            <a:gd name="T6" fmla="*/ 3974 w 4352"/>
                            <a:gd name="T7" fmla="*/ 0 h 865"/>
                            <a:gd name="T8" fmla="*/ 4352 w 4352"/>
                            <a:gd name="T9" fmla="*/ 865 h 865"/>
                          </a:gdLst>
                          <a:ahLst/>
                          <a:cxnLst>
                            <a:cxn ang="0">
                              <a:pos x="T0" y="T1"/>
                            </a:cxn>
                            <a:cxn ang="0">
                              <a:pos x="T2" y="T3"/>
                            </a:cxn>
                            <a:cxn ang="0">
                              <a:pos x="T4" y="T5"/>
                            </a:cxn>
                            <a:cxn ang="0">
                              <a:pos x="T6" y="T7"/>
                            </a:cxn>
                            <a:cxn ang="0">
                              <a:pos x="T8" y="T9"/>
                            </a:cxn>
                          </a:cxnLst>
                          <a:rect l="0" t="0" r="r" b="b"/>
                          <a:pathLst>
                            <a:path w="4352" h="865">
                              <a:moveTo>
                                <a:pt x="4352" y="865"/>
                              </a:moveTo>
                              <a:lnTo>
                                <a:pt x="378" y="865"/>
                              </a:lnTo>
                              <a:lnTo>
                                <a:pt x="0" y="0"/>
                              </a:lnTo>
                              <a:lnTo>
                                <a:pt x="3974" y="0"/>
                              </a:lnTo>
                              <a:lnTo>
                                <a:pt x="4352" y="865"/>
                              </a:lnTo>
                              <a:close/>
                            </a:path>
                          </a:pathLst>
                        </a:custGeom>
                        <a:solidFill>
                          <a:srgbClr val="B822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8"/>
                      <wps:cNvSpPr>
                        <a:spLocks/>
                      </wps:cNvSpPr>
                      <wps:spPr bwMode="auto">
                        <a:xfrm>
                          <a:off x="5705856" y="0"/>
                          <a:ext cx="2761615" cy="530225"/>
                        </a:xfrm>
                        <a:custGeom>
                          <a:avLst/>
                          <a:gdLst>
                            <a:gd name="T0" fmla="*/ 3975 w 4352"/>
                            <a:gd name="T1" fmla="*/ 865 h 865"/>
                            <a:gd name="T2" fmla="*/ 0 w 4352"/>
                            <a:gd name="T3" fmla="*/ 865 h 865"/>
                            <a:gd name="T4" fmla="*/ 378 w 4352"/>
                            <a:gd name="T5" fmla="*/ 0 h 865"/>
                            <a:gd name="T6" fmla="*/ 4352 w 4352"/>
                            <a:gd name="T7" fmla="*/ 0 h 865"/>
                            <a:gd name="T8" fmla="*/ 3975 w 4352"/>
                            <a:gd name="T9" fmla="*/ 865 h 865"/>
                          </a:gdLst>
                          <a:ahLst/>
                          <a:cxnLst>
                            <a:cxn ang="0">
                              <a:pos x="T0" y="T1"/>
                            </a:cxn>
                            <a:cxn ang="0">
                              <a:pos x="T2" y="T3"/>
                            </a:cxn>
                            <a:cxn ang="0">
                              <a:pos x="T4" y="T5"/>
                            </a:cxn>
                            <a:cxn ang="0">
                              <a:pos x="T6" y="T7"/>
                            </a:cxn>
                            <a:cxn ang="0">
                              <a:pos x="T8" y="T9"/>
                            </a:cxn>
                          </a:cxnLst>
                          <a:rect l="0" t="0" r="r" b="b"/>
                          <a:pathLst>
                            <a:path w="4352" h="865">
                              <a:moveTo>
                                <a:pt x="3975" y="865"/>
                              </a:moveTo>
                              <a:lnTo>
                                <a:pt x="0" y="865"/>
                              </a:lnTo>
                              <a:lnTo>
                                <a:pt x="378" y="0"/>
                              </a:lnTo>
                              <a:lnTo>
                                <a:pt x="4352" y="0"/>
                              </a:lnTo>
                              <a:lnTo>
                                <a:pt x="3975" y="865"/>
                              </a:lnTo>
                              <a:close/>
                            </a:path>
                          </a:pathLst>
                        </a:custGeom>
                        <a:solidFill>
                          <a:srgbClr val="782B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6364224" y="175565"/>
                          <a:ext cx="1170432" cy="212141"/>
                        </a:xfrm>
                        <a:prstGeom prst="rect">
                          <a:avLst/>
                        </a:prstGeom>
                      </pic:spPr>
                    </pic:pic>
                  </wpg:wgp>
                </a:graphicData>
              </a:graphic>
              <wp14:sizeRelV relativeFrom="margin">
                <wp14:pctHeight>0</wp14:pctHeight>
              </wp14:sizeRelV>
            </wp:anchor>
          </w:drawing>
        </mc:Choice>
        <mc:Fallback>
          <w:pict>
            <v:group id="Group 1" o:spid="_x0000_s1026" style="position:absolute;margin-left:0;margin-top:-31.4pt;width:849.6pt;height:41.75pt;z-index:251682816;mso-position-horizontal-relative:page;mso-height-relative:margin" coordsize="107899,53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">
              <v:rect id="Rectangle 12" o:spid="_x0000_s1027" style="position:absolute;left:82296;width:25603;height:5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ZtqsIA&#10;AADbAAAADwAAAGRycy9kb3ducmV2LnhtbERPTWvCQBC9C/0PyxR6q5tEKDZ1E0pVKFUP2nofsmMS&#10;zM6G3a2m/npXKHibx/ucWTmYTpzI+daygnScgCCurG65VvDzvXyegvABWWNnmRT8kYeyeBjNMNf2&#10;zFs67UItYgj7HBU0IfS5lL5qyKAf2544cgfrDIYIXS21w3MMN53MkuRFGmw5NjTY00dD1XH3axSs&#10;FpvXdO68zvZ7q9PlZdKuvyZKPT0O728gAg3hLv53f+o4P4PbL/EAW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Zm2qwgAAANsAAAAPAAAAAAAAAAAAAAAAAJgCAABkcnMvZG93&#10;bnJldi54bWxQSwUGAAAAAAQABAD1AAAAhwMAAAAA&#10;" fillcolor="#e9e9e7" stroked="f"/>
              <v:rect id="Rectangle 13" o:spid="_x0000_s1028" style="position:absolute;width:25603;height:5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Sn6cIA&#10;AADbAAAADwAAAGRycy9kb3ducmV2LnhtbERP22rCQBB9L/Qflin0rW4SaSnRVUQRL1CkUfB1mp1m&#10;g9nZkN3G+PddodC3OZzrTOeDbURPna8dK0hHCQji0umaKwWn4/rlHYQPyBobx6TgRh7ms8eHKeba&#10;XfmT+iJUIoawz1GBCaHNpfSlIYt+5FriyH27zmKIsKuk7vAaw20jsyR5kxZrjg0GW1oaKi/Fj1Ww&#10;97fXMtvsjFwd0q+Poh+3rj4r9fw0LCYgAg3hX/zn3uo4fwz3X+IBcvY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RKfpwgAAANsAAAAPAAAAAAAAAAAAAAAAAJgCAABkcnMvZG93&#10;bnJldi54bWxQSwUGAAAAAAQABAD1AAAAhwMAAAAA&#10;" fillcolor="#85080f" stroked="f"/>
              <v:shape id="Freeform 22" o:spid="_x0000_s1029" style="position:absolute;left:54425;width:5226;height:5302;visibility:visible;mso-wrap-style:square;v-text-anchor:top" coordsize="824,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j4H8EA&#10;AADbAAAADwAAAGRycy9kb3ducmV2LnhtbERPS2sCMRC+F/wPYYTeaqKIlNUo4gOkh8KuhV6HzbhZ&#10;3EyWTdS0v74pFHqbj+85q01ynbjTEFrPGqYTBYK49qblRsPH+fjyCiJEZIOdZ9LwRQE269HTCgvj&#10;H1zSvYqNyCEcCtRgY+wLKUNtyWGY+J44cxc/OIwZDo00Az5yuOvkTKmFdNhybrDY085Sfa1uTkO/&#10;kIfy7Tu979vqszwrm1Q4Jq2fx2m7BBEpxX/xn/tk8vw5/P6SD5Dr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64+B/BAAAA2wAAAA8AAAAAAAAAAAAAAAAAmAIAAGRycy9kb3du&#10;cmV2LnhtbFBLBQYAAAAABAAEAPUAAACGAwAAAAA=&#10;" path="m824,l,,400,835r23,l824,xm824,r,xe" fillcolor="#9c68ac" stroked="f">
                <v:path arrowok="t" o:connecttype="custom" o:connectlocs="522605,0;0,0;253692,530225;268279,530225;522605,0;522605,0;522605,0" o:connectangles="0,0,0,0,0,0,0"/>
                <o:lock v:ext="edit" verticies="t"/>
              </v:shape>
              <v:shape id="Freeform 24" o:spid="_x0000_s1030" style="position:absolute;left:48060;width:9005;height:5302;visibility:visible;mso-wrap-style:square;v-text-anchor:top" coordsize="1419,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NNfcEA&#10;AADbAAAADwAAAGRycy9kb3ducmV2LnhtbERPzWrCQBC+C77DMkJvutGCmNRVSmmllyJGH2DITrOh&#10;2dmYnWrq07uFQm/z8f3Oejv4Vl2oj01gA/NZBoq4Crbh2sDp+DZdgYqCbLENTAZ+KMJ2Mx6tsbDh&#10;yge6lFKrFMKxQANOpCu0jpUjj3EWOuLEfYbeoyTY19r2eE3hvtWLLFtqjw2nBocdvTiqvspvbyDP&#10;biK1K/OP13N4PC2q3X4fd8Y8TIbnJ1BCg/yL/9zvNs1fwu8v6QC9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DTX3BAAAA2wAAAA8AAAAAAAAAAAAAAAAAmAIAAGRycy9kb3du&#10;cmV2LnhtbFBLBQYAAAAABAAEAPUAAACGAwAAAAA=&#10;" path="m1019,l,,401,835r1018,l1019,xe" fillcolor="#5d196a" stroked="f">
                <v:path arrowok="t" o:connecttype="custom" o:connectlocs="646609,0;0,0;254456,530225;900430,530225;646609,0" o:connectangles="0,0,0,0,0"/>
              </v:shape>
              <v:shape id="Freeform 17" o:spid="_x0000_s1031" style="position:absolute;left:23116;width:27616;height:5302;visibility:visible;mso-wrap-style:square;v-text-anchor:top" coordsize="4352,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hbcEA&#10;AADbAAAADwAAAGRycy9kb3ducmV2LnhtbERPTWsCMRC9F/wPYQrealItWrZGEaEgFg+uQult2Ex3&#10;QzeTZZO68d8bodDbPN7nLNfJteJCfbCeNTxPFAjiyhvLtYbz6f3pFUSIyAZbz6ThSgHWq9HDEgvj&#10;Bz7SpYy1yCEcCtTQxNgVUoaqIYdh4jvizH373mHMsK+l6XHI4a6VU6Xm0qHl3NBgR9uGqp/y12ko&#10;X2af9jDMlfnab9NgN+rjmJTW48e0eQMRKcV/8Z97Z/L8Bdx/yQfI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6IW3BAAAA2wAAAA8AAAAAAAAAAAAAAAAAmAIAAGRycy9kb3du&#10;cmV2LnhtbFBLBQYAAAAABAAEAPUAAACGAwAAAAA=&#10;" path="m4352,865r-3974,l,,3974,r378,865xe" fillcolor="#b8222f" stroked="f">
                <v:path arrowok="t" o:connecttype="custom" o:connectlocs="2761615,530225;239865,530225;0,0;2521750,0;2761615,530225" o:connectangles="0,0,0,0,0"/>
              </v:shape>
              <v:shape id="Freeform 18" o:spid="_x0000_s1032" style="position:absolute;left:57058;width:27616;height:5302;visibility:visible;mso-wrap-style:square;v-text-anchor:top" coordsize="4352,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pX+8EA&#10;AADbAAAADwAAAGRycy9kb3ducmV2LnhtbESPQYvCQAyF7wv+hyGCl0Wnyq5odRQRBNlLWfUHhE5s&#10;q51M6Yxa/705CN4S3st7X5brztXqTm2oPBsYjxJQxLm3FRcGTsfdcAYqRGSLtWcy8KQA61Xva4mp&#10;9Q/+p/shFkpCOKRooIyxSbUOeUkOw8g3xKKdfeswytoW2rb4kHBX60mSTLXDiqWhxIa2JeXXw80Z&#10;yMLurwh5MqGsu2Tf/gfnvzUaM+h3mwWoSF38mN/Xeyv4Aiu/yAB6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qV/vBAAAA2wAAAA8AAAAAAAAAAAAAAAAAmAIAAGRycy9kb3du&#10;cmV2LnhtbFBLBQYAAAAABAAEAPUAAACGAwAAAAA=&#10;" path="m3975,865l,865,378,,4352,,3975,865xe" fillcolor="#782b8f" stroked="f">
                <v:path arrowok="t" o:connecttype="custom" o:connectlocs="2522385,530225;0,530225;239865,0;2761615,0;2522385,530225"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3" type="#_x0000_t75" style="position:absolute;left:63642;top:1755;width:11704;height:2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0qztHCAAAA2gAAAA8AAABkcnMvZG93bnJldi54bWxEj09rwkAUxO8Fv8PyBG/NRgUJaVbxDy09&#10;FUx76e2RfSbR7Nuwu8b023cFweMwM79his1oOjGQ861lBfMkBUFcWd1yreDn+/01A+EDssbOMin4&#10;Iw+b9eSlwFzbGx9pKEMtIoR9jgqaEPpcSl81ZNAntieO3sk6gyFKV0vt8BbhppOLNF1Jgy3HhQZ7&#10;2jdUXcqrUdD9XtDp88muPoZDz7uvarcdM6Vm03H7BiLQGJ7hR/tTK1jC/Uq8AXL9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NKs7RwgAAANoAAAAPAAAAAAAAAAAAAAAAAJ8C&#10;AABkcnMvZG93bnJldi54bWxQSwUGAAAAAAQABAD3AAAAjgMAAAAA&#10;">
                <v:imagedata r:id="rId2" o:title=""/>
                <v:path arrowok="t"/>
              </v:shape>
              <w10:wrap anchorx="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77F72"/>
    <w:multiLevelType w:val="hybridMultilevel"/>
    <w:tmpl w:val="AD620FF2"/>
    <w:lvl w:ilvl="0" w:tplc="0D502630">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1E8C2537"/>
    <w:multiLevelType w:val="hybridMultilevel"/>
    <w:tmpl w:val="E5164238"/>
    <w:lvl w:ilvl="0" w:tplc="AD2AB004">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6566D79"/>
    <w:multiLevelType w:val="hybridMultilevel"/>
    <w:tmpl w:val="FABE1004"/>
    <w:lvl w:ilvl="0" w:tplc="AD2AB004">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3B0B4F83"/>
    <w:multiLevelType w:val="hybridMultilevel"/>
    <w:tmpl w:val="2BA01298"/>
    <w:lvl w:ilvl="0" w:tplc="AD2AB004">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446D3A6A"/>
    <w:multiLevelType w:val="multilevel"/>
    <w:tmpl w:val="F58A407A"/>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6">
    <w:nsid w:val="78B452E5"/>
    <w:multiLevelType w:val="hybridMultilevel"/>
    <w:tmpl w:val="49DC06FA"/>
    <w:lvl w:ilvl="0" w:tplc="EB84B8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abstractNumId w:val="5"/>
  </w:num>
  <w:num w:numId="2">
    <w:abstractNumId w:val="5"/>
  </w:num>
  <w:num w:numId="3">
    <w:abstractNumId w:val="5"/>
  </w:num>
  <w:num w:numId="4">
    <w:abstractNumId w:val="8"/>
  </w:num>
  <w:num w:numId="5">
    <w:abstractNumId w:val="5"/>
  </w:num>
  <w:num w:numId="6">
    <w:abstractNumId w:val="5"/>
  </w:num>
  <w:num w:numId="7">
    <w:abstractNumId w:val="5"/>
  </w:num>
  <w:num w:numId="8">
    <w:abstractNumId w:val="5"/>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2"/>
  </w:num>
  <w:num w:numId="18">
    <w:abstractNumId w:val="2"/>
  </w:num>
  <w:num w:numId="19">
    <w:abstractNumId w:val="7"/>
  </w:num>
  <w:num w:numId="20">
    <w:abstractNumId w:val="6"/>
  </w:num>
  <w:num w:numId="21">
    <w:abstractNumId w:val="0"/>
  </w:num>
  <w:num w:numId="22">
    <w:abstractNumId w:val="0"/>
  </w:num>
  <w:num w:numId="23">
    <w:abstractNumId w:val="0"/>
  </w:num>
  <w:num w:numId="24">
    <w:abstractNumId w:val="7"/>
  </w:num>
  <w:num w:numId="25">
    <w:abstractNumId w:val="8"/>
  </w:num>
  <w:num w:numId="26">
    <w:abstractNumId w:val="2"/>
  </w:num>
  <w:num w:numId="27">
    <w:abstractNumId w:val="2"/>
  </w:num>
  <w:num w:numId="28">
    <w:abstractNumId w:val="5"/>
  </w:num>
  <w:num w:numId="29">
    <w:abstractNumId w:val="5"/>
  </w:num>
  <w:num w:numId="30">
    <w:abstractNumId w:val="5"/>
  </w:num>
  <w:num w:numId="31">
    <w:abstractNumId w:val="5"/>
  </w:num>
  <w:num w:numId="32">
    <w:abstractNumId w:val="8"/>
  </w:num>
  <w:num w:numId="33">
    <w:abstractNumId w:val="8"/>
  </w:num>
  <w:num w:numId="34">
    <w:abstractNumId w:val="8"/>
  </w:num>
  <w:num w:numId="35">
    <w:abstractNumId w:val="8"/>
  </w:num>
  <w:num w:numId="36">
    <w:abstractNumId w:val="8"/>
  </w:num>
  <w:num w:numId="37">
    <w:abstractNumId w:val="8"/>
  </w:num>
  <w:num w:numId="38">
    <w:abstractNumId w:val="8"/>
  </w:num>
  <w:num w:numId="39">
    <w:abstractNumId w:val="8"/>
  </w:num>
  <w:num w:numId="40">
    <w:abstractNumId w:val="7"/>
  </w:num>
  <w:num w:numId="41">
    <w:abstractNumId w:val="8"/>
  </w:num>
  <w:num w:numId="42">
    <w:abstractNumId w:val="2"/>
  </w:num>
  <w:num w:numId="43">
    <w:abstractNumId w:val="2"/>
  </w:num>
  <w:num w:numId="44">
    <w:abstractNumId w:val="2"/>
  </w:num>
  <w:num w:numId="45">
    <w:abstractNumId w:val="2"/>
  </w:num>
  <w:num w:numId="46">
    <w:abstractNumId w:val="4"/>
  </w:num>
  <w:num w:numId="47">
    <w:abstractNumId w:val="3"/>
  </w:num>
  <w:num w:numId="48">
    <w:abstractNumId w:val="1"/>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E36"/>
    <w:rsid w:val="00012F6F"/>
    <w:rsid w:val="00014213"/>
    <w:rsid w:val="00014B55"/>
    <w:rsid w:val="00020E3E"/>
    <w:rsid w:val="00023BF3"/>
    <w:rsid w:val="00026811"/>
    <w:rsid w:val="00043296"/>
    <w:rsid w:val="0004356D"/>
    <w:rsid w:val="00045296"/>
    <w:rsid w:val="00050267"/>
    <w:rsid w:val="00075E6C"/>
    <w:rsid w:val="0008229F"/>
    <w:rsid w:val="000B29AD"/>
    <w:rsid w:val="000C6372"/>
    <w:rsid w:val="000D593F"/>
    <w:rsid w:val="000E392D"/>
    <w:rsid w:val="000F4288"/>
    <w:rsid w:val="000F7165"/>
    <w:rsid w:val="00102379"/>
    <w:rsid w:val="001065D6"/>
    <w:rsid w:val="00116DFE"/>
    <w:rsid w:val="00121252"/>
    <w:rsid w:val="00124609"/>
    <w:rsid w:val="001254CE"/>
    <w:rsid w:val="00126AF9"/>
    <w:rsid w:val="00134CEA"/>
    <w:rsid w:val="001422CC"/>
    <w:rsid w:val="001617B6"/>
    <w:rsid w:val="00163250"/>
    <w:rsid w:val="00165E66"/>
    <w:rsid w:val="00175BA7"/>
    <w:rsid w:val="001A3DD1"/>
    <w:rsid w:val="001C7BAE"/>
    <w:rsid w:val="001D717E"/>
    <w:rsid w:val="001E31FA"/>
    <w:rsid w:val="001E64F6"/>
    <w:rsid w:val="00222BEB"/>
    <w:rsid w:val="00225E60"/>
    <w:rsid w:val="0023202C"/>
    <w:rsid w:val="00236203"/>
    <w:rsid w:val="00245043"/>
    <w:rsid w:val="00254E96"/>
    <w:rsid w:val="00257760"/>
    <w:rsid w:val="00286FC9"/>
    <w:rsid w:val="00292D36"/>
    <w:rsid w:val="00297281"/>
    <w:rsid w:val="002C54E0"/>
    <w:rsid w:val="002D711A"/>
    <w:rsid w:val="002D7336"/>
    <w:rsid w:val="002E3396"/>
    <w:rsid w:val="0031149C"/>
    <w:rsid w:val="0038771C"/>
    <w:rsid w:val="00392A8F"/>
    <w:rsid w:val="0039405B"/>
    <w:rsid w:val="003A1C92"/>
    <w:rsid w:val="003A541A"/>
    <w:rsid w:val="003A6923"/>
    <w:rsid w:val="003C2C67"/>
    <w:rsid w:val="003C2EA2"/>
    <w:rsid w:val="003C5BA4"/>
    <w:rsid w:val="003E3E26"/>
    <w:rsid w:val="003F1295"/>
    <w:rsid w:val="003F76FC"/>
    <w:rsid w:val="004002EB"/>
    <w:rsid w:val="00405C57"/>
    <w:rsid w:val="0041689E"/>
    <w:rsid w:val="004236C8"/>
    <w:rsid w:val="00427681"/>
    <w:rsid w:val="00433DB7"/>
    <w:rsid w:val="00453750"/>
    <w:rsid w:val="00456941"/>
    <w:rsid w:val="0046455E"/>
    <w:rsid w:val="004669E3"/>
    <w:rsid w:val="004702EA"/>
    <w:rsid w:val="00482D02"/>
    <w:rsid w:val="004A7519"/>
    <w:rsid w:val="004B41CA"/>
    <w:rsid w:val="004D3518"/>
    <w:rsid w:val="004D62D6"/>
    <w:rsid w:val="004F4B40"/>
    <w:rsid w:val="005136F0"/>
    <w:rsid w:val="00527817"/>
    <w:rsid w:val="0053416C"/>
    <w:rsid w:val="00541C2F"/>
    <w:rsid w:val="00563527"/>
    <w:rsid w:val="0058124E"/>
    <w:rsid w:val="00584301"/>
    <w:rsid w:val="005875A3"/>
    <w:rsid w:val="005A3416"/>
    <w:rsid w:val="005B27FE"/>
    <w:rsid w:val="005C3E6D"/>
    <w:rsid w:val="005D0E36"/>
    <w:rsid w:val="005F61DF"/>
    <w:rsid w:val="006023F9"/>
    <w:rsid w:val="00610559"/>
    <w:rsid w:val="006332F6"/>
    <w:rsid w:val="006361E7"/>
    <w:rsid w:val="00652625"/>
    <w:rsid w:val="006534B2"/>
    <w:rsid w:val="0065615D"/>
    <w:rsid w:val="00657011"/>
    <w:rsid w:val="006650B5"/>
    <w:rsid w:val="006651B1"/>
    <w:rsid w:val="00665778"/>
    <w:rsid w:val="006738C4"/>
    <w:rsid w:val="006A5B34"/>
    <w:rsid w:val="006A5F5B"/>
    <w:rsid w:val="006B5385"/>
    <w:rsid w:val="006C77A9"/>
    <w:rsid w:val="006F6693"/>
    <w:rsid w:val="00707FE8"/>
    <w:rsid w:val="00724962"/>
    <w:rsid w:val="00724A0F"/>
    <w:rsid w:val="0073072C"/>
    <w:rsid w:val="007320B4"/>
    <w:rsid w:val="00732162"/>
    <w:rsid w:val="00736732"/>
    <w:rsid w:val="00750CBE"/>
    <w:rsid w:val="00766B5A"/>
    <w:rsid w:val="007834F2"/>
    <w:rsid w:val="007909B1"/>
    <w:rsid w:val="00791020"/>
    <w:rsid w:val="007A5F82"/>
    <w:rsid w:val="007B75A4"/>
    <w:rsid w:val="007C0913"/>
    <w:rsid w:val="007F1A4C"/>
    <w:rsid w:val="008022C3"/>
    <w:rsid w:val="008041E6"/>
    <w:rsid w:val="008065D2"/>
    <w:rsid w:val="0082194C"/>
    <w:rsid w:val="008220C4"/>
    <w:rsid w:val="008222FF"/>
    <w:rsid w:val="008241FF"/>
    <w:rsid w:val="008411E9"/>
    <w:rsid w:val="0084200F"/>
    <w:rsid w:val="00843B2C"/>
    <w:rsid w:val="008471C4"/>
    <w:rsid w:val="00860129"/>
    <w:rsid w:val="008A4900"/>
    <w:rsid w:val="008D0281"/>
    <w:rsid w:val="008E3C4E"/>
    <w:rsid w:val="008F6D45"/>
    <w:rsid w:val="0092358A"/>
    <w:rsid w:val="009322FC"/>
    <w:rsid w:val="009834C0"/>
    <w:rsid w:val="00984C95"/>
    <w:rsid w:val="00986AAC"/>
    <w:rsid w:val="009872F6"/>
    <w:rsid w:val="009A1DA2"/>
    <w:rsid w:val="009A3704"/>
    <w:rsid w:val="009A4739"/>
    <w:rsid w:val="009A674F"/>
    <w:rsid w:val="009B199C"/>
    <w:rsid w:val="009B54C8"/>
    <w:rsid w:val="009B61F1"/>
    <w:rsid w:val="009B62E0"/>
    <w:rsid w:val="009C3D88"/>
    <w:rsid w:val="009D1C63"/>
    <w:rsid w:val="009E3858"/>
    <w:rsid w:val="009E70DD"/>
    <w:rsid w:val="009F2ED9"/>
    <w:rsid w:val="009F3231"/>
    <w:rsid w:val="009F5C58"/>
    <w:rsid w:val="00A023A0"/>
    <w:rsid w:val="00A1562B"/>
    <w:rsid w:val="00A170F4"/>
    <w:rsid w:val="00A2559E"/>
    <w:rsid w:val="00A25FD9"/>
    <w:rsid w:val="00A46BA8"/>
    <w:rsid w:val="00A47634"/>
    <w:rsid w:val="00A612FE"/>
    <w:rsid w:val="00AA26B8"/>
    <w:rsid w:val="00AA6FB5"/>
    <w:rsid w:val="00AB3FE2"/>
    <w:rsid w:val="00AC4A12"/>
    <w:rsid w:val="00AD3322"/>
    <w:rsid w:val="00AD7E4E"/>
    <w:rsid w:val="00AF34DE"/>
    <w:rsid w:val="00AF4D58"/>
    <w:rsid w:val="00AF6666"/>
    <w:rsid w:val="00B10154"/>
    <w:rsid w:val="00B24364"/>
    <w:rsid w:val="00B81B44"/>
    <w:rsid w:val="00B9053B"/>
    <w:rsid w:val="00BC286B"/>
    <w:rsid w:val="00BC3422"/>
    <w:rsid w:val="00C015B9"/>
    <w:rsid w:val="00C022F9"/>
    <w:rsid w:val="00C032EA"/>
    <w:rsid w:val="00C06EB5"/>
    <w:rsid w:val="00C1145F"/>
    <w:rsid w:val="00C637E1"/>
    <w:rsid w:val="00C70D50"/>
    <w:rsid w:val="00C8243E"/>
    <w:rsid w:val="00C907D7"/>
    <w:rsid w:val="00C92338"/>
    <w:rsid w:val="00CA7C3A"/>
    <w:rsid w:val="00CC2DB2"/>
    <w:rsid w:val="00CD0307"/>
    <w:rsid w:val="00CD3D1B"/>
    <w:rsid w:val="00CE62B3"/>
    <w:rsid w:val="00CF7DCA"/>
    <w:rsid w:val="00D211E9"/>
    <w:rsid w:val="00D2312F"/>
    <w:rsid w:val="00D269C1"/>
    <w:rsid w:val="00D44953"/>
    <w:rsid w:val="00D542F3"/>
    <w:rsid w:val="00D543E5"/>
    <w:rsid w:val="00D5644B"/>
    <w:rsid w:val="00D56E25"/>
    <w:rsid w:val="00D71896"/>
    <w:rsid w:val="00D718D7"/>
    <w:rsid w:val="00D73212"/>
    <w:rsid w:val="00D814B7"/>
    <w:rsid w:val="00D90688"/>
    <w:rsid w:val="00DA3AAD"/>
    <w:rsid w:val="00DB312B"/>
    <w:rsid w:val="00DC5654"/>
    <w:rsid w:val="00DC658F"/>
    <w:rsid w:val="00DE60CC"/>
    <w:rsid w:val="00E26B32"/>
    <w:rsid w:val="00E31444"/>
    <w:rsid w:val="00E3254C"/>
    <w:rsid w:val="00E407B6"/>
    <w:rsid w:val="00E41EF1"/>
    <w:rsid w:val="00E42942"/>
    <w:rsid w:val="00E468A6"/>
    <w:rsid w:val="00E71BDF"/>
    <w:rsid w:val="00E83CA7"/>
    <w:rsid w:val="00EC046E"/>
    <w:rsid w:val="00EC171D"/>
    <w:rsid w:val="00ED487E"/>
    <w:rsid w:val="00EE7A0D"/>
    <w:rsid w:val="00EF0D21"/>
    <w:rsid w:val="00F17CE1"/>
    <w:rsid w:val="00F2115C"/>
    <w:rsid w:val="00F22ABA"/>
    <w:rsid w:val="00F36B12"/>
    <w:rsid w:val="00F417C3"/>
    <w:rsid w:val="00F60F9F"/>
    <w:rsid w:val="00F64F08"/>
    <w:rsid w:val="00F734F5"/>
    <w:rsid w:val="00F86B17"/>
    <w:rsid w:val="00F966B1"/>
    <w:rsid w:val="00F97D48"/>
    <w:rsid w:val="00FA0311"/>
    <w:rsid w:val="00FC42E5"/>
    <w:rsid w:val="00FD640F"/>
    <w:rsid w:val="00FD6B4C"/>
    <w:rsid w:val="00FD6BE9"/>
    <w:rsid w:val="00FE12DF"/>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lsdException w:name="index 2" w:semiHidden="0"/>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uiPriority="39"/>
    <w:lsdException w:name="toc 8" w:uiPriority="39"/>
    <w:lsdException w:name="toc 9" w:uiPriority="39"/>
    <w:lsdException w:name="Normal Indent" w:semiHidden="0" w:uiPriority="9" w:qFormat="1"/>
    <w:lsdException w:name="header" w:semiHidden="0" w:uiPriority="24"/>
    <w:lsdException w:name="footer" w:semiHidden="0" w:uiPriority="24"/>
    <w:lsdException w:name="index heading" w:semiHidden="0"/>
    <w:lsdException w:name="caption" w:semiHidden="0" w:uiPriority="35"/>
    <w:lsdException w:name="page number" w:semiHidden="0" w:uiPriority="49"/>
    <w:lsdException w:name="Title" w:semiHidden="0"/>
    <w:lsdException w:name="Default Paragraph Font" w:uiPriority="1" w:unhideWhenUsed="1"/>
    <w:lsdException w:name="Body Text" w:uiPriority="49"/>
    <w:lsdException w:name="Subtitle" w:semiHidden="0"/>
    <w:lsdException w:name="Hyperlink" w:semiHidden="0"/>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0" w:uiPriority="39"/>
  </w:latentStyles>
  <w:style w:type="paragraph" w:default="1" w:styleId="Normal">
    <w:name w:val="Normal"/>
    <w:qFormat/>
    <w:rsid w:val="004F4B40"/>
    <w:pPr>
      <w:spacing w:before="100" w:after="100" w:line="264" w:lineRule="auto"/>
    </w:pPr>
    <w:rPr>
      <w:spacing w:val="2"/>
    </w:rPr>
  </w:style>
  <w:style w:type="paragraph" w:styleId="Heading1">
    <w:name w:val="heading 1"/>
    <w:next w:val="Normal"/>
    <w:link w:val="Heading1Char"/>
    <w:qFormat/>
    <w:rsid w:val="005D0E36"/>
    <w:pPr>
      <w:keepNext/>
      <w:keepLines/>
      <w:spacing w:before="520" w:after="400"/>
      <w:outlineLvl w:val="0"/>
    </w:pPr>
    <w:rPr>
      <w:rFonts w:asciiTheme="majorHAnsi" w:eastAsiaTheme="majorEastAsia" w:hAnsiTheme="majorHAnsi" w:cstheme="majorBidi"/>
      <w:b/>
      <w:bCs/>
      <w:color w:val="53565A"/>
      <w:spacing w:val="-1"/>
      <w:sz w:val="32"/>
      <w:szCs w:val="32"/>
    </w:rPr>
  </w:style>
  <w:style w:type="paragraph" w:styleId="Heading2">
    <w:name w:val="heading 2"/>
    <w:basedOn w:val="Normal"/>
    <w:next w:val="Normal"/>
    <w:link w:val="Heading2Char"/>
    <w:qFormat/>
    <w:rsid w:val="005D0E36"/>
    <w:pPr>
      <w:keepNext/>
      <w:keepLines/>
      <w:spacing w:before="280" w:after="240"/>
      <w:outlineLvl w:val="1"/>
    </w:pPr>
    <w:rPr>
      <w:rFonts w:asciiTheme="majorHAnsi" w:eastAsiaTheme="majorEastAsia" w:hAnsiTheme="majorHAnsi" w:cstheme="majorBidi"/>
      <w:b/>
      <w:bCs/>
      <w:color w:val="53565A"/>
      <w:sz w:val="28"/>
      <w:szCs w:val="26"/>
    </w:rPr>
  </w:style>
  <w:style w:type="paragraph" w:styleId="Heading3">
    <w:name w:val="heading 3"/>
    <w:basedOn w:val="Normal"/>
    <w:next w:val="Normal"/>
    <w:link w:val="Heading3Char"/>
    <w:qFormat/>
    <w:rsid w:val="005D0E36"/>
    <w:pPr>
      <w:keepNext/>
      <w:keepLines/>
      <w:spacing w:before="240" w:after="120"/>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qFormat/>
    <w:rsid w:val="005D0E36"/>
    <w:pPr>
      <w:keepNext/>
      <w:keepLines/>
      <w:spacing w:line="240" w:lineRule="auto"/>
      <w:jc w:val="center"/>
      <w:outlineLvl w:val="3"/>
    </w:pPr>
    <w:rPr>
      <w:rFonts w:asciiTheme="majorHAnsi" w:eastAsiaTheme="majorEastAsia" w:hAnsiTheme="majorHAnsi" w:cstheme="majorBidi"/>
      <w:b/>
      <w:bCs/>
      <w:iCs/>
      <w:color w:val="404040" w:themeColor="text1" w:themeTint="BF"/>
      <w:sz w:val="17"/>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5D0E3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5D0E36"/>
    <w:pPr>
      <w:spacing w:before="20" w:after="20" w:line="240" w:lineRule="auto"/>
      <w:jc w:val="right"/>
    </w:pPr>
    <w:rPr>
      <w:rFonts w:eastAsiaTheme="minorHAnsi"/>
      <w:spacing w:val="2"/>
      <w:sz w:val="17"/>
      <w:szCs w:val="21"/>
      <w:lang w:eastAsia="en-US"/>
    </w:rPr>
    <w:tblPr>
      <w:tblStyleColBandSize w:val="1"/>
      <w:tblBorders>
        <w:bottom w:val="single" w:sz="12" w:space="0" w:color="4F81BD"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rPr>
        <w:tblHeader/>
      </w:trPr>
      <w:tcPr>
        <w:shd w:val="clear" w:color="auto" w:fill="4F81BD" w:themeFill="accent1"/>
        <w:vAlign w:val="bottom"/>
      </w:tcPr>
    </w:tblStylePr>
    <w:tblStylePr w:type="lastRow">
      <w:rPr>
        <w:b/>
      </w:rPr>
      <w:tblPr/>
      <w:tcPr>
        <w:tcBorders>
          <w:top w:val="single" w:sz="6" w:space="0" w:color="4F81BD" w:themeColor="accent1"/>
          <w:left w:val="nil"/>
          <w:bottom w:val="single" w:sz="12" w:space="0" w:color="4F81BD" w:themeColor="accent1"/>
          <w:right w:val="nil"/>
          <w:insideV w:val="nil"/>
        </w:tcBorders>
      </w:tcPr>
    </w:tblStylePr>
    <w:tblStylePr w:type="firstCol">
      <w:pPr>
        <w:jc w:val="left"/>
      </w:pPr>
    </w:tblStylePr>
    <w:tblStylePr w:type="band1Vert">
      <w:pPr>
        <w:jc w:val="right"/>
      </w:pPr>
    </w:tblStylePr>
    <w:tblStylePr w:type="band2Vert">
      <w:pPr>
        <w:jc w:val="right"/>
      </w:pPr>
    </w:tblStylePr>
  </w:style>
  <w:style w:type="table" w:styleId="LightList-Accent4">
    <w:name w:val="Light List Accent 4"/>
    <w:basedOn w:val="TableNormal"/>
    <w:uiPriority w:val="61"/>
    <w:rsid w:val="005D0E3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1">
    <w:name w:val="Light List Accent 1"/>
    <w:basedOn w:val="TableNormal"/>
    <w:uiPriority w:val="61"/>
    <w:rsid w:val="005D0E3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1">
    <w:name w:val="toc 1"/>
    <w:basedOn w:val="Normal"/>
    <w:next w:val="Normal"/>
    <w:uiPriority w:val="39"/>
    <w:rsid w:val="005D0E36"/>
    <w:pPr>
      <w:tabs>
        <w:tab w:val="right" w:leader="dot" w:pos="8730"/>
      </w:tabs>
      <w:ind w:right="432"/>
    </w:pPr>
    <w:rPr>
      <w:noProof/>
      <w:sz w:val="24"/>
      <w:szCs w:val="24"/>
    </w:rPr>
  </w:style>
  <w:style w:type="paragraph" w:styleId="TOC2">
    <w:name w:val="toc 2"/>
    <w:next w:val="Normal"/>
    <w:uiPriority w:val="39"/>
    <w:rsid w:val="005D0E36"/>
    <w:pPr>
      <w:tabs>
        <w:tab w:val="right" w:leader="dot" w:pos="8730"/>
      </w:tabs>
      <w:spacing w:after="100"/>
      <w:ind w:left="446" w:right="432"/>
      <w:contextualSpacing/>
    </w:pPr>
    <w:rPr>
      <w:noProof/>
      <w:spacing w:val="2"/>
    </w:rPr>
  </w:style>
  <w:style w:type="paragraph" w:styleId="TOC3">
    <w:name w:val="toc 3"/>
    <w:basedOn w:val="Normal"/>
    <w:next w:val="Normal"/>
    <w:uiPriority w:val="39"/>
    <w:rsid w:val="005D0E36"/>
    <w:pPr>
      <w:tabs>
        <w:tab w:val="right" w:leader="dot" w:pos="8730"/>
      </w:tabs>
      <w:spacing w:before="0"/>
      <w:ind w:left="1080" w:right="432"/>
      <w:contextualSpacing/>
    </w:pPr>
    <w:rPr>
      <w:noProof/>
      <w:sz w:val="18"/>
      <w:szCs w:val="18"/>
    </w:rPr>
  </w:style>
  <w:style w:type="paragraph" w:styleId="Index1">
    <w:name w:val="index 1"/>
    <w:basedOn w:val="Normal"/>
    <w:next w:val="Normal"/>
    <w:uiPriority w:val="99"/>
    <w:semiHidden/>
    <w:rsid w:val="005D0E36"/>
    <w:pPr>
      <w:spacing w:after="60" w:line="240" w:lineRule="auto"/>
    </w:pPr>
    <w:rPr>
      <w:sz w:val="16"/>
    </w:rPr>
  </w:style>
  <w:style w:type="paragraph" w:styleId="Index2">
    <w:name w:val="index 2"/>
    <w:basedOn w:val="Normal"/>
    <w:next w:val="Normal"/>
    <w:uiPriority w:val="99"/>
    <w:semiHidden/>
    <w:rsid w:val="005D0E36"/>
    <w:pPr>
      <w:spacing w:after="0" w:line="240" w:lineRule="auto"/>
      <w:ind w:left="216"/>
    </w:pPr>
    <w:rPr>
      <w:sz w:val="16"/>
      <w:szCs w:val="16"/>
    </w:rPr>
  </w:style>
  <w:style w:type="character" w:styleId="Hyperlink">
    <w:name w:val="Hyperlink"/>
    <w:basedOn w:val="DefaultParagraphFont"/>
    <w:uiPriority w:val="99"/>
    <w:rsid w:val="005D0E36"/>
    <w:rPr>
      <w:color w:val="4F81BD" w:themeColor="accent1"/>
      <w:u w:val="none"/>
    </w:rPr>
  </w:style>
  <w:style w:type="character" w:customStyle="1" w:styleId="Heading1Char">
    <w:name w:val="Heading 1 Char"/>
    <w:basedOn w:val="DefaultParagraphFont"/>
    <w:link w:val="Heading1"/>
    <w:rsid w:val="005D0E36"/>
    <w:rPr>
      <w:rFonts w:asciiTheme="majorHAnsi" w:eastAsiaTheme="majorEastAsia" w:hAnsiTheme="majorHAnsi" w:cstheme="majorBidi"/>
      <w:b/>
      <w:bCs/>
      <w:color w:val="53565A"/>
      <w:spacing w:val="-1"/>
      <w:sz w:val="32"/>
      <w:szCs w:val="32"/>
    </w:rPr>
  </w:style>
  <w:style w:type="character" w:customStyle="1" w:styleId="Heading2Char">
    <w:name w:val="Heading 2 Char"/>
    <w:basedOn w:val="DefaultParagraphFont"/>
    <w:link w:val="Heading2"/>
    <w:rsid w:val="005D0E36"/>
    <w:rPr>
      <w:rFonts w:asciiTheme="majorHAnsi" w:eastAsiaTheme="majorEastAsia" w:hAnsiTheme="majorHAnsi" w:cstheme="majorBidi"/>
      <w:b/>
      <w:bCs/>
      <w:color w:val="53565A"/>
      <w:spacing w:val="2"/>
      <w:sz w:val="28"/>
      <w:szCs w:val="26"/>
    </w:rPr>
  </w:style>
  <w:style w:type="paragraph" w:customStyle="1" w:styleId="Bullet1">
    <w:name w:val="Bullet 1"/>
    <w:uiPriority w:val="1"/>
    <w:qFormat/>
    <w:rsid w:val="005D0E36"/>
    <w:pPr>
      <w:numPr>
        <w:numId w:val="1"/>
      </w:numPr>
      <w:spacing w:before="100" w:after="100" w:line="240" w:lineRule="auto"/>
      <w:contextualSpacing/>
    </w:pPr>
    <w:rPr>
      <w:rFonts w:eastAsia="Times New Roman" w:cs="Calibri"/>
      <w:spacing w:val="2"/>
    </w:rPr>
  </w:style>
  <w:style w:type="paragraph" w:customStyle="1" w:styleId="Bullet2">
    <w:name w:val="Bullet 2"/>
    <w:basedOn w:val="Bullet1"/>
    <w:uiPriority w:val="1"/>
    <w:qFormat/>
    <w:rsid w:val="005D0E36"/>
    <w:pPr>
      <w:numPr>
        <w:ilvl w:val="1"/>
      </w:numPr>
    </w:pPr>
  </w:style>
  <w:style w:type="paragraph" w:customStyle="1" w:styleId="Bulletindent">
    <w:name w:val="Bullet indent"/>
    <w:basedOn w:val="Bullet2"/>
    <w:uiPriority w:val="9"/>
    <w:qFormat/>
    <w:rsid w:val="005D0E36"/>
    <w:pPr>
      <w:numPr>
        <w:ilvl w:val="2"/>
      </w:numPr>
    </w:pPr>
  </w:style>
  <w:style w:type="paragraph" w:customStyle="1" w:styleId="Heading1numbered">
    <w:name w:val="Heading 1 numbered"/>
    <w:basedOn w:val="Heading1"/>
    <w:next w:val="NormalIndent"/>
    <w:uiPriority w:val="8"/>
    <w:qFormat/>
    <w:rsid w:val="005D0E36"/>
    <w:pPr>
      <w:numPr>
        <w:ilvl w:val="2"/>
        <w:numId w:val="4"/>
      </w:numPr>
    </w:pPr>
  </w:style>
  <w:style w:type="paragraph" w:customStyle="1" w:styleId="Heading2numbered">
    <w:name w:val="Heading 2 numbered"/>
    <w:basedOn w:val="Heading2"/>
    <w:next w:val="NormalIndent"/>
    <w:uiPriority w:val="8"/>
    <w:qFormat/>
    <w:rsid w:val="005D0E36"/>
    <w:pPr>
      <w:numPr>
        <w:ilvl w:val="3"/>
        <w:numId w:val="4"/>
      </w:numPr>
    </w:pPr>
  </w:style>
  <w:style w:type="paragraph" w:customStyle="1" w:styleId="Heading3numbered">
    <w:name w:val="Heading 3 numbered"/>
    <w:basedOn w:val="Heading3"/>
    <w:next w:val="NormalIndent"/>
    <w:uiPriority w:val="8"/>
    <w:qFormat/>
    <w:rsid w:val="005D0E36"/>
    <w:pPr>
      <w:numPr>
        <w:ilvl w:val="4"/>
        <w:numId w:val="4"/>
      </w:numPr>
    </w:pPr>
  </w:style>
  <w:style w:type="character" w:customStyle="1" w:styleId="Heading3Char">
    <w:name w:val="Heading 3 Char"/>
    <w:basedOn w:val="DefaultParagraphFont"/>
    <w:link w:val="Heading3"/>
    <w:rsid w:val="005D0E36"/>
    <w:rPr>
      <w:rFonts w:asciiTheme="majorHAnsi" w:eastAsiaTheme="majorEastAsia" w:hAnsiTheme="majorHAnsi" w:cstheme="majorBidi"/>
      <w:b/>
      <w:bCs/>
      <w:color w:val="4F81BD" w:themeColor="accent1"/>
      <w:spacing w:val="2"/>
      <w:sz w:val="22"/>
      <w:szCs w:val="22"/>
    </w:rPr>
  </w:style>
  <w:style w:type="paragraph" w:customStyle="1" w:styleId="Heading4numbered">
    <w:name w:val="Heading 4 numbered"/>
    <w:basedOn w:val="Heading4"/>
    <w:next w:val="NormalIndent"/>
    <w:uiPriority w:val="8"/>
    <w:qFormat/>
    <w:rsid w:val="005D0E36"/>
    <w:pPr>
      <w:numPr>
        <w:ilvl w:val="5"/>
        <w:numId w:val="4"/>
      </w:numPr>
    </w:pPr>
  </w:style>
  <w:style w:type="character" w:customStyle="1" w:styleId="Heading4Char">
    <w:name w:val="Heading 4 Char"/>
    <w:basedOn w:val="DefaultParagraphFont"/>
    <w:link w:val="Heading4"/>
    <w:rsid w:val="005D0E36"/>
    <w:rPr>
      <w:rFonts w:asciiTheme="majorHAnsi" w:eastAsiaTheme="majorEastAsia" w:hAnsiTheme="majorHAnsi" w:cstheme="majorBidi"/>
      <w:b/>
      <w:bCs/>
      <w:iCs/>
      <w:color w:val="404040" w:themeColor="text1" w:themeTint="BF"/>
      <w:spacing w:val="2"/>
      <w:sz w:val="17"/>
      <w:szCs w:val="21"/>
      <w:lang w:eastAsia="en-US"/>
    </w:rPr>
  </w:style>
  <w:style w:type="paragraph" w:styleId="NormalIndent">
    <w:name w:val="Normal Indent"/>
    <w:basedOn w:val="Normal"/>
    <w:uiPriority w:val="9"/>
    <w:qFormat/>
    <w:rsid w:val="005D0E36"/>
    <w:pPr>
      <w:spacing w:line="252" w:lineRule="auto"/>
      <w:ind w:left="792"/>
    </w:pPr>
  </w:style>
  <w:style w:type="paragraph" w:customStyle="1" w:styleId="NoteNormal">
    <w:name w:val="Note Normal"/>
    <w:basedOn w:val="Normal"/>
    <w:rsid w:val="005D0E36"/>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5D0E36"/>
    <w:pPr>
      <w:spacing w:before="0" w:after="0" w:line="120" w:lineRule="atLeast"/>
    </w:pPr>
    <w:rPr>
      <w:rFonts w:eastAsia="Times New Roman" w:cs="Calibri"/>
      <w:spacing w:val="0"/>
      <w:sz w:val="10"/>
      <w:szCs w:val="22"/>
    </w:rPr>
  </w:style>
  <w:style w:type="paragraph" w:styleId="Subtitle">
    <w:name w:val="Subtitle"/>
    <w:next w:val="TertiaryTitle"/>
    <w:link w:val="SubtitleChar"/>
    <w:uiPriority w:val="99"/>
    <w:rsid w:val="005D0E36"/>
    <w:pPr>
      <w:spacing w:after="120" w:line="440" w:lineRule="exact"/>
    </w:pPr>
    <w:rPr>
      <w:rFonts w:asciiTheme="majorHAnsi" w:eastAsia="Times New Roman" w:hAnsiTheme="majorHAnsi" w:cstheme="majorHAnsi"/>
      <w:color w:val="4F81BD" w:themeColor="accent1"/>
      <w:spacing w:val="-2"/>
      <w:sz w:val="40"/>
      <w:szCs w:val="24"/>
    </w:rPr>
  </w:style>
  <w:style w:type="character" w:customStyle="1" w:styleId="SubtitleChar">
    <w:name w:val="Subtitle Char"/>
    <w:basedOn w:val="DefaultParagraphFont"/>
    <w:link w:val="Subtitle"/>
    <w:uiPriority w:val="99"/>
    <w:rsid w:val="005D0E36"/>
    <w:rPr>
      <w:rFonts w:asciiTheme="majorHAnsi" w:eastAsia="Times New Roman" w:hAnsiTheme="majorHAnsi" w:cstheme="majorHAnsi"/>
      <w:color w:val="4F81BD" w:themeColor="accent1"/>
      <w:spacing w:val="-2"/>
      <w:sz w:val="40"/>
      <w:szCs w:val="24"/>
    </w:rPr>
  </w:style>
  <w:style w:type="paragraph" w:customStyle="1" w:styleId="TertiaryTitle">
    <w:name w:val="Tertiary Title"/>
    <w:next w:val="Normal"/>
    <w:uiPriority w:val="99"/>
    <w:rsid w:val="005D0E36"/>
    <w:pPr>
      <w:spacing w:after="0"/>
    </w:pPr>
    <w:rPr>
      <w:rFonts w:asciiTheme="majorHAnsi" w:eastAsia="Times New Roman" w:hAnsiTheme="majorHAnsi" w:cstheme="majorHAnsi"/>
      <w:color w:val="4F81BD" w:themeColor="accent1"/>
      <w:spacing w:val="-2"/>
      <w:szCs w:val="40"/>
      <w:lang w:eastAsia="en-US"/>
    </w:rPr>
  </w:style>
  <w:style w:type="paragraph" w:styleId="Title">
    <w:name w:val="Title"/>
    <w:next w:val="Subtitle"/>
    <w:link w:val="TitleChar"/>
    <w:uiPriority w:val="99"/>
    <w:rsid w:val="005D0E36"/>
    <w:pPr>
      <w:spacing w:after="240" w:line="252" w:lineRule="auto"/>
    </w:pPr>
    <w:rPr>
      <w:rFonts w:asciiTheme="majorHAnsi" w:eastAsia="Times New Roman" w:hAnsiTheme="majorHAnsi" w:cstheme="majorHAnsi"/>
      <w:b/>
      <w:color w:val="4F81BD" w:themeColor="accent1"/>
      <w:spacing w:val="-2"/>
      <w:sz w:val="52"/>
      <w:szCs w:val="22"/>
    </w:rPr>
  </w:style>
  <w:style w:type="character" w:customStyle="1" w:styleId="TitleChar">
    <w:name w:val="Title Char"/>
    <w:basedOn w:val="DefaultParagraphFont"/>
    <w:link w:val="Title"/>
    <w:uiPriority w:val="99"/>
    <w:rsid w:val="005D0E36"/>
    <w:rPr>
      <w:rFonts w:asciiTheme="majorHAnsi" w:eastAsia="Times New Roman" w:hAnsiTheme="majorHAnsi" w:cstheme="majorHAnsi"/>
      <w:b/>
      <w:color w:val="4F81BD" w:themeColor="accent1"/>
      <w:spacing w:val="-2"/>
      <w:sz w:val="52"/>
      <w:szCs w:val="22"/>
    </w:rPr>
  </w:style>
  <w:style w:type="paragraph" w:styleId="BalloonText">
    <w:name w:val="Balloon Text"/>
    <w:basedOn w:val="Normal"/>
    <w:link w:val="BalloonTextChar"/>
    <w:uiPriority w:val="99"/>
    <w:semiHidden/>
    <w:rsid w:val="005D0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E36"/>
    <w:rPr>
      <w:rFonts w:ascii="Tahoma" w:hAnsi="Tahoma" w:cs="Tahoma"/>
      <w:spacing w:val="2"/>
      <w:sz w:val="16"/>
      <w:szCs w:val="16"/>
    </w:rPr>
  </w:style>
  <w:style w:type="paragraph" w:customStyle="1" w:styleId="Bulletindent2">
    <w:name w:val="Bullet indent 2"/>
    <w:basedOn w:val="Normal"/>
    <w:uiPriority w:val="9"/>
    <w:qFormat/>
    <w:rsid w:val="005D0E36"/>
    <w:pPr>
      <w:numPr>
        <w:ilvl w:val="3"/>
        <w:numId w:val="1"/>
      </w:numPr>
      <w:contextualSpacing/>
    </w:pPr>
  </w:style>
  <w:style w:type="paragraph" w:styleId="IndexHeading">
    <w:name w:val="index heading"/>
    <w:basedOn w:val="Normal"/>
    <w:next w:val="Index1"/>
    <w:uiPriority w:val="99"/>
    <w:semiHidden/>
    <w:rsid w:val="005D0E36"/>
    <w:rPr>
      <w:rFonts w:asciiTheme="majorHAnsi" w:eastAsiaTheme="majorEastAsia" w:hAnsiTheme="majorHAnsi" w:cstheme="majorBidi"/>
      <w:b/>
      <w:bCs/>
    </w:rPr>
  </w:style>
  <w:style w:type="paragraph" w:styleId="Header">
    <w:name w:val="header"/>
    <w:basedOn w:val="Normal"/>
    <w:link w:val="HeaderChar"/>
    <w:uiPriority w:val="24"/>
    <w:rsid w:val="005D0E36"/>
    <w:pPr>
      <w:tabs>
        <w:tab w:val="center" w:pos="4513"/>
        <w:tab w:val="right" w:pos="9026"/>
      </w:tabs>
      <w:spacing w:after="0" w:line="240" w:lineRule="auto"/>
    </w:pPr>
  </w:style>
  <w:style w:type="character" w:customStyle="1" w:styleId="HeaderChar">
    <w:name w:val="Header Char"/>
    <w:basedOn w:val="DefaultParagraphFont"/>
    <w:link w:val="Header"/>
    <w:uiPriority w:val="24"/>
    <w:rsid w:val="005D0E36"/>
    <w:rPr>
      <w:spacing w:val="2"/>
    </w:rPr>
  </w:style>
  <w:style w:type="paragraph" w:styleId="Footer">
    <w:name w:val="footer"/>
    <w:basedOn w:val="Normal"/>
    <w:link w:val="FooterChar"/>
    <w:uiPriority w:val="24"/>
    <w:rsid w:val="005D0E36"/>
    <w:pPr>
      <w:tabs>
        <w:tab w:val="right" w:pos="14760"/>
      </w:tabs>
      <w:spacing w:before="0" w:after="0" w:line="240" w:lineRule="auto"/>
      <w:ind w:right="-784"/>
    </w:pPr>
    <w:rPr>
      <w:noProof/>
      <w:sz w:val="18"/>
      <w:szCs w:val="18"/>
    </w:rPr>
  </w:style>
  <w:style w:type="character" w:customStyle="1" w:styleId="FooterChar">
    <w:name w:val="Footer Char"/>
    <w:basedOn w:val="DefaultParagraphFont"/>
    <w:link w:val="Footer"/>
    <w:uiPriority w:val="24"/>
    <w:rsid w:val="005D0E36"/>
    <w:rPr>
      <w:noProof/>
      <w:spacing w:val="2"/>
      <w:sz w:val="18"/>
      <w:szCs w:val="18"/>
    </w:rPr>
  </w:style>
  <w:style w:type="character" w:styleId="PageNumber">
    <w:name w:val="page number"/>
    <w:uiPriority w:val="49"/>
    <w:semiHidden/>
    <w:rsid w:val="005D0E36"/>
    <w:rPr>
      <w:rFonts w:asciiTheme="minorHAnsi" w:hAnsiTheme="minorHAnsi"/>
      <w:b w:val="0"/>
      <w:color w:val="FFFFFF" w:themeColor="background1"/>
      <w:sz w:val="24"/>
    </w:rPr>
  </w:style>
  <w:style w:type="paragraph" w:styleId="TOCHeading">
    <w:name w:val="TOC Heading"/>
    <w:basedOn w:val="Heading1"/>
    <w:next w:val="Normal"/>
    <w:uiPriority w:val="39"/>
    <w:rsid w:val="005D0E36"/>
    <w:pPr>
      <w:spacing w:before="480" w:after="720"/>
      <w:outlineLvl w:val="9"/>
    </w:pPr>
    <w:rPr>
      <w:color w:val="1F497D" w:themeColor="text2"/>
      <w:spacing w:val="2"/>
    </w:rPr>
  </w:style>
  <w:style w:type="paragraph" w:customStyle="1" w:styleId="NormalTight">
    <w:name w:val="Normal Tight"/>
    <w:uiPriority w:val="99"/>
    <w:semiHidden/>
    <w:rsid w:val="005D0E36"/>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5D0E36"/>
    <w:pPr>
      <w:spacing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5D0E36"/>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5D0E36"/>
    <w:pPr>
      <w:spacing w:before="5800"/>
      <w:ind w:right="1382"/>
    </w:pPr>
  </w:style>
  <w:style w:type="paragraph" w:styleId="TOC4">
    <w:name w:val="toc 4"/>
    <w:basedOn w:val="TOC1"/>
    <w:next w:val="Normal"/>
    <w:uiPriority w:val="39"/>
    <w:rsid w:val="005D0E36"/>
    <w:pPr>
      <w:ind w:left="450" w:hanging="450"/>
    </w:pPr>
    <w:rPr>
      <w:lang w:eastAsia="en-US"/>
    </w:rPr>
  </w:style>
  <w:style w:type="paragraph" w:styleId="TOC5">
    <w:name w:val="toc 5"/>
    <w:basedOn w:val="TOC2"/>
    <w:next w:val="Normal"/>
    <w:uiPriority w:val="39"/>
    <w:rsid w:val="005D0E36"/>
    <w:pPr>
      <w:ind w:left="1080" w:hanging="634"/>
    </w:pPr>
    <w:rPr>
      <w:lang w:eastAsia="en-US"/>
    </w:rPr>
  </w:style>
  <w:style w:type="paragraph" w:styleId="TOC6">
    <w:name w:val="toc 6"/>
    <w:basedOn w:val="TOC3"/>
    <w:next w:val="Normal"/>
    <w:uiPriority w:val="39"/>
    <w:rsid w:val="005D0E36"/>
    <w:pPr>
      <w:ind w:left="1800" w:hanging="720"/>
    </w:pPr>
    <w:rPr>
      <w:lang w:eastAsia="en-US"/>
    </w:rPr>
  </w:style>
  <w:style w:type="table" w:customStyle="1" w:styleId="DTFtexttable">
    <w:name w:val="DTF text table"/>
    <w:basedOn w:val="TableGrid"/>
    <w:uiPriority w:val="99"/>
    <w:rsid w:val="004F4B40"/>
    <w:pPr>
      <w:spacing w:before="30" w:after="30" w:line="264" w:lineRule="auto"/>
      <w:jc w:val="left"/>
    </w:pPr>
    <w:tblPr>
      <w:tblStyleRowBandSize w:val="1"/>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4F81BD" w:themeFill="accent1"/>
        <w:vAlign w:val="bottom"/>
      </w:tcPr>
    </w:tblStylePr>
    <w:tblStylePr w:type="lastRow">
      <w:rPr>
        <w:b/>
      </w:rPr>
      <w:tblPr/>
      <w:tcPr>
        <w:tcBorders>
          <w:top w:val="single" w:sz="6" w:space="0" w:color="4F81BD" w:themeColor="accent1"/>
          <w:left w:val="nil"/>
          <w:bottom w:val="single" w:sz="12" w:space="0" w:color="4F81BD" w:themeColor="accent1"/>
          <w:right w:val="nil"/>
          <w:insideV w:val="nil"/>
        </w:tcBorders>
      </w:tcPr>
    </w:tblStylePr>
    <w:tblStylePr w:type="firstCol">
      <w:pPr>
        <w:jc w:val="left"/>
      </w:pPr>
      <w:tblPr/>
      <w:tcPr>
        <w:shd w:val="clear" w:color="auto" w:fill="EBEBEB"/>
      </w:tcPr>
    </w:tblStylePr>
    <w:tblStylePr w:type="lastCol">
      <w:pPr>
        <w:jc w:val="left"/>
      </w:pPr>
    </w:tblStylePr>
    <w:tblStylePr w:type="band1Vert">
      <w:pPr>
        <w:jc w:val="left"/>
      </w:pPr>
    </w:tblStylePr>
    <w:tblStylePr w:type="band2Vert">
      <w:pPr>
        <w:jc w:val="left"/>
      </w:pPr>
    </w:tblStylePr>
    <w:tblStylePr w:type="band2Horz">
      <w:tblPr/>
      <w:tcPr>
        <w:shd w:val="clear" w:color="auto" w:fill="EBEBEB"/>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5D0E36"/>
    <w:pPr>
      <w:spacing w:before="30" w:after="30" w:line="264" w:lineRule="auto"/>
    </w:pPr>
    <w:tblPr>
      <w:tblStyleRowBandSize w:val="1"/>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4F81BD" w:themeFill="accent1"/>
        <w:vAlign w:val="bottom"/>
      </w:tcPr>
    </w:tblStylePr>
    <w:tblStylePr w:type="lastRow">
      <w:rPr>
        <w:b/>
      </w:rPr>
      <w:tblPr/>
      <w:tcPr>
        <w:tcBorders>
          <w:top w:val="single" w:sz="6" w:space="0" w:color="4F81BD" w:themeColor="accent1"/>
          <w:left w:val="nil"/>
          <w:bottom w:val="single" w:sz="12" w:space="0" w:color="4F81BD" w:themeColor="accent1"/>
          <w:right w:val="nil"/>
          <w:insideV w:val="nil"/>
        </w:tcBorders>
      </w:tcPr>
    </w:tblStylePr>
    <w:tblStylePr w:type="firstCol">
      <w:pPr>
        <w:jc w:val="left"/>
      </w:pPr>
      <w:tblPr/>
      <w:tcPr>
        <w:shd w:val="clear" w:color="auto" w:fill="EBEBEB"/>
      </w:tcPr>
    </w:tblStylePr>
    <w:tblStylePr w:type="band1Vert">
      <w:pPr>
        <w:jc w:val="right"/>
      </w:pPr>
    </w:tblStylePr>
    <w:tblStylePr w:type="band2Vert">
      <w:pPr>
        <w:jc w:val="right"/>
      </w:pPr>
    </w:tblStylePr>
    <w:tblStylePr w:type="band2Horz">
      <w:tblPr/>
      <w:tcPr>
        <w:shd w:val="clear" w:color="auto" w:fill="EBEBEB"/>
      </w:tcPr>
    </w:tblStylePr>
    <w:tblStylePr w:type="nwCell">
      <w:pPr>
        <w:jc w:val="left"/>
      </w:pPr>
      <w:tblPr/>
      <w:tcPr>
        <w:vAlign w:val="bottom"/>
      </w:tcPr>
    </w:tblStylePr>
  </w:style>
  <w:style w:type="paragraph" w:customStyle="1" w:styleId="Tabletext">
    <w:name w:val="Table text"/>
    <w:basedOn w:val="Normal"/>
    <w:uiPriority w:val="5"/>
    <w:qFormat/>
    <w:rsid w:val="005D0E36"/>
    <w:pPr>
      <w:spacing w:before="60" w:after="60"/>
    </w:pPr>
    <w:rPr>
      <w:sz w:val="17"/>
    </w:rPr>
  </w:style>
  <w:style w:type="paragraph" w:customStyle="1" w:styleId="Tabletextright">
    <w:name w:val="Table text right"/>
    <w:basedOn w:val="Tabletext"/>
    <w:uiPriority w:val="5"/>
    <w:qFormat/>
    <w:rsid w:val="005D0E36"/>
    <w:pPr>
      <w:jc w:val="right"/>
    </w:pPr>
  </w:style>
  <w:style w:type="paragraph" w:customStyle="1" w:styleId="Listnumindent2">
    <w:name w:val="List num indent 2"/>
    <w:basedOn w:val="Normal"/>
    <w:uiPriority w:val="9"/>
    <w:qFormat/>
    <w:rsid w:val="005D0E36"/>
    <w:pPr>
      <w:numPr>
        <w:ilvl w:val="7"/>
        <w:numId w:val="4"/>
      </w:numPr>
      <w:contextualSpacing/>
    </w:pPr>
  </w:style>
  <w:style w:type="paragraph" w:customStyle="1" w:styleId="Listnumindent">
    <w:name w:val="List num indent"/>
    <w:basedOn w:val="Normal"/>
    <w:uiPriority w:val="9"/>
    <w:qFormat/>
    <w:rsid w:val="005D0E36"/>
    <w:pPr>
      <w:numPr>
        <w:ilvl w:val="6"/>
        <w:numId w:val="4"/>
      </w:numPr>
    </w:pPr>
  </w:style>
  <w:style w:type="paragraph" w:customStyle="1" w:styleId="Listnum">
    <w:name w:val="List num"/>
    <w:basedOn w:val="Normal"/>
    <w:uiPriority w:val="2"/>
    <w:qFormat/>
    <w:rsid w:val="005D0E36"/>
    <w:pPr>
      <w:numPr>
        <w:numId w:val="4"/>
      </w:numPr>
    </w:pPr>
  </w:style>
  <w:style w:type="paragraph" w:customStyle="1" w:styleId="Listnum2">
    <w:name w:val="List num 2"/>
    <w:basedOn w:val="Normal"/>
    <w:uiPriority w:val="2"/>
    <w:qFormat/>
    <w:rsid w:val="005D0E36"/>
    <w:pPr>
      <w:numPr>
        <w:ilvl w:val="1"/>
        <w:numId w:val="4"/>
      </w:numPr>
    </w:pPr>
  </w:style>
  <w:style w:type="paragraph" w:customStyle="1" w:styleId="Tabletextcentred">
    <w:name w:val="Table text centred"/>
    <w:basedOn w:val="Tabletext"/>
    <w:uiPriority w:val="5"/>
    <w:qFormat/>
    <w:rsid w:val="005D0E36"/>
    <w:pPr>
      <w:jc w:val="center"/>
    </w:pPr>
  </w:style>
  <w:style w:type="paragraph" w:customStyle="1" w:styleId="Tableheader">
    <w:name w:val="Table header"/>
    <w:basedOn w:val="Tabletext"/>
    <w:uiPriority w:val="5"/>
    <w:qFormat/>
    <w:rsid w:val="005D0E36"/>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5D0E36"/>
    <w:pPr>
      <w:numPr>
        <w:numId w:val="17"/>
      </w:numPr>
    </w:pPr>
  </w:style>
  <w:style w:type="paragraph" w:customStyle="1" w:styleId="Tabledash">
    <w:name w:val="Table dash"/>
    <w:basedOn w:val="Tablebullet"/>
    <w:uiPriority w:val="6"/>
    <w:rsid w:val="005D0E36"/>
    <w:pPr>
      <w:numPr>
        <w:ilvl w:val="1"/>
      </w:numPr>
    </w:pPr>
  </w:style>
  <w:style w:type="paragraph" w:customStyle="1" w:styleId="Tabletextindent">
    <w:name w:val="Table text indent"/>
    <w:basedOn w:val="Tabletext"/>
    <w:uiPriority w:val="5"/>
    <w:qFormat/>
    <w:rsid w:val="005D0E36"/>
    <w:pPr>
      <w:ind w:left="288"/>
    </w:pPr>
  </w:style>
  <w:style w:type="paragraph" w:customStyle="1" w:styleId="Numpara">
    <w:name w:val="Num para"/>
    <w:basedOn w:val="ListParagraph"/>
    <w:uiPriority w:val="2"/>
    <w:qFormat/>
    <w:rsid w:val="005D0E36"/>
    <w:pPr>
      <w:numPr>
        <w:numId w:val="19"/>
      </w:numPr>
      <w:tabs>
        <w:tab w:val="left" w:pos="540"/>
      </w:tabs>
    </w:pPr>
  </w:style>
  <w:style w:type="paragraph" w:styleId="ListParagraph">
    <w:name w:val="List Paragraph"/>
    <w:basedOn w:val="Normal"/>
    <w:uiPriority w:val="34"/>
    <w:semiHidden/>
    <w:qFormat/>
    <w:rsid w:val="005D0E36"/>
    <w:pPr>
      <w:ind w:left="720"/>
      <w:contextualSpacing/>
    </w:pPr>
  </w:style>
  <w:style w:type="paragraph" w:customStyle="1" w:styleId="Tablechartdiagramheading">
    <w:name w:val="Table/chart/diagram heading"/>
    <w:uiPriority w:val="4"/>
    <w:qFormat/>
    <w:rsid w:val="005D0E36"/>
    <w:pPr>
      <w:tabs>
        <w:tab w:val="left" w:pos="1080"/>
      </w:tabs>
      <w:spacing w:before="160" w:after="100"/>
    </w:pPr>
    <w:rPr>
      <w:b/>
      <w:bCs/>
      <w:color w:val="4F81BD" w:themeColor="accent1"/>
      <w:spacing w:val="2"/>
      <w:sz w:val="18"/>
      <w:szCs w:val="18"/>
    </w:rPr>
  </w:style>
  <w:style w:type="paragraph" w:styleId="FootnoteText">
    <w:name w:val="footnote text"/>
    <w:basedOn w:val="Normal"/>
    <w:link w:val="FootnoteTextChar"/>
    <w:uiPriority w:val="99"/>
    <w:semiHidden/>
    <w:rsid w:val="005D0E36"/>
    <w:pPr>
      <w:spacing w:before="0" w:after="0" w:line="240" w:lineRule="auto"/>
    </w:pPr>
    <w:rPr>
      <w:sz w:val="17"/>
    </w:rPr>
  </w:style>
  <w:style w:type="character" w:customStyle="1" w:styleId="FootnoteTextChar">
    <w:name w:val="Footnote Text Char"/>
    <w:basedOn w:val="DefaultParagraphFont"/>
    <w:link w:val="FootnoteText"/>
    <w:uiPriority w:val="99"/>
    <w:semiHidden/>
    <w:rsid w:val="005D0E36"/>
    <w:rPr>
      <w:spacing w:val="2"/>
      <w:sz w:val="17"/>
    </w:rPr>
  </w:style>
  <w:style w:type="character" w:styleId="FootnoteReference">
    <w:name w:val="footnote reference"/>
    <w:basedOn w:val="DefaultParagraphFont"/>
    <w:uiPriority w:val="99"/>
    <w:semiHidden/>
    <w:rsid w:val="005D0E36"/>
    <w:rPr>
      <w:vertAlign w:val="superscript"/>
    </w:rPr>
  </w:style>
  <w:style w:type="table" w:customStyle="1" w:styleId="DTFfinancialtableindent">
    <w:name w:val="DTF financial table indent"/>
    <w:basedOn w:val="DTFfinancialtable"/>
    <w:uiPriority w:val="99"/>
    <w:rsid w:val="005D0E36"/>
    <w:pPr>
      <w:spacing w:after="0" w:line="240" w:lineRule="auto"/>
    </w:pPr>
    <w:tblPr>
      <w:tblInd w:w="821" w:type="dxa"/>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4F81BD" w:themeFill="accent1"/>
        <w:vAlign w:val="bottom"/>
      </w:tcPr>
    </w:tblStylePr>
    <w:tblStylePr w:type="lastRow">
      <w:rPr>
        <w:b/>
      </w:rPr>
      <w:tblPr/>
      <w:tcPr>
        <w:tcBorders>
          <w:top w:val="single" w:sz="6" w:space="0" w:color="4F81BD" w:themeColor="accent1"/>
          <w:left w:val="nil"/>
          <w:bottom w:val="single" w:sz="12" w:space="0" w:color="4F81BD" w:themeColor="accent1"/>
          <w:right w:val="nil"/>
          <w:insideV w:val="nil"/>
        </w:tcBorders>
      </w:tcPr>
    </w:tblStylePr>
    <w:tblStylePr w:type="firstCol">
      <w:pPr>
        <w:jc w:val="left"/>
      </w:pPr>
      <w:tblPr/>
      <w:tcPr>
        <w:shd w:val="clear" w:color="auto" w:fill="EBEBEB"/>
      </w:tcPr>
    </w:tblStylePr>
    <w:tblStylePr w:type="band1Vert">
      <w:pPr>
        <w:jc w:val="right"/>
      </w:pPr>
    </w:tblStylePr>
    <w:tblStylePr w:type="band2Vert">
      <w:pPr>
        <w:jc w:val="right"/>
      </w:pPr>
    </w:tblStylePr>
    <w:tblStylePr w:type="band2Horz">
      <w:tblPr/>
      <w:tcPr>
        <w:shd w:val="clear" w:color="auto" w:fill="EBEBEB"/>
      </w:tcPr>
    </w:tblStylePr>
    <w:tblStylePr w:type="nwCell">
      <w:pPr>
        <w:jc w:val="left"/>
      </w:pPr>
      <w:tblPr/>
      <w:tcPr>
        <w:vAlign w:val="bottom"/>
      </w:tcPr>
    </w:tblStylePr>
  </w:style>
  <w:style w:type="table" w:customStyle="1" w:styleId="DTFtexttableindent">
    <w:name w:val="DTF text table indent"/>
    <w:basedOn w:val="DTFtexttable"/>
    <w:uiPriority w:val="99"/>
    <w:rsid w:val="005D0E36"/>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4F81BD" w:themeFill="accent1"/>
        <w:vAlign w:val="bottom"/>
      </w:tcPr>
    </w:tblStylePr>
    <w:tblStylePr w:type="lastRow">
      <w:rPr>
        <w:b/>
      </w:rPr>
      <w:tblPr/>
      <w:tcPr>
        <w:tcBorders>
          <w:top w:val="single" w:sz="6" w:space="0" w:color="4F81BD" w:themeColor="accent1"/>
          <w:left w:val="nil"/>
          <w:bottom w:val="single" w:sz="12" w:space="0" w:color="4F81BD" w:themeColor="accent1"/>
          <w:right w:val="nil"/>
          <w:insideV w:val="nil"/>
        </w:tcBorders>
      </w:tcPr>
    </w:tblStylePr>
    <w:tblStylePr w:type="firstCol">
      <w:pPr>
        <w:jc w:val="left"/>
      </w:pPr>
      <w:tblPr/>
      <w:tcPr>
        <w:shd w:val="clear" w:color="auto" w:fill="EBEBEB"/>
      </w:tcPr>
    </w:tblStylePr>
    <w:tblStylePr w:type="lastCol">
      <w:pPr>
        <w:jc w:val="left"/>
      </w:pPr>
    </w:tblStylePr>
    <w:tblStylePr w:type="band1Vert">
      <w:pPr>
        <w:jc w:val="left"/>
      </w:pPr>
    </w:tblStylePr>
    <w:tblStylePr w:type="band2Vert">
      <w:pPr>
        <w:jc w:val="left"/>
      </w:pPr>
    </w:tblStylePr>
    <w:tblStylePr w:type="band2Horz">
      <w:tblPr/>
      <w:tcPr>
        <w:shd w:val="clear" w:color="auto" w:fill="EBEBEB"/>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5D0E36"/>
    <w:pPr>
      <w:numPr>
        <w:ilvl w:val="8"/>
        <w:numId w:val="4"/>
      </w:numPr>
      <w:tabs>
        <w:tab w:val="clear" w:pos="540"/>
      </w:tabs>
    </w:pPr>
  </w:style>
  <w:style w:type="paragraph" w:customStyle="1" w:styleId="Tablenum1">
    <w:name w:val="Table num 1"/>
    <w:basedOn w:val="Normal"/>
    <w:uiPriority w:val="6"/>
    <w:rsid w:val="005D0E36"/>
    <w:pPr>
      <w:numPr>
        <w:ilvl w:val="2"/>
        <w:numId w:val="17"/>
      </w:numPr>
    </w:pPr>
    <w:rPr>
      <w:sz w:val="17"/>
    </w:rPr>
  </w:style>
  <w:style w:type="paragraph" w:customStyle="1" w:styleId="Tablenum2">
    <w:name w:val="Table num 2"/>
    <w:basedOn w:val="Normal"/>
    <w:uiPriority w:val="6"/>
    <w:rsid w:val="005D0E36"/>
    <w:pPr>
      <w:numPr>
        <w:ilvl w:val="3"/>
        <w:numId w:val="17"/>
      </w:numPr>
    </w:pPr>
    <w:rPr>
      <w:sz w:val="17"/>
    </w:rPr>
  </w:style>
  <w:style w:type="paragraph" w:customStyle="1" w:styleId="NoteNormalindent">
    <w:name w:val="Note Normal indent"/>
    <w:basedOn w:val="NoteNormal"/>
    <w:uiPriority w:val="9"/>
    <w:rsid w:val="005D0E36"/>
    <w:pPr>
      <w:ind w:left="792"/>
    </w:pPr>
  </w:style>
  <w:style w:type="paragraph" w:styleId="Caption">
    <w:name w:val="caption"/>
    <w:basedOn w:val="Normal"/>
    <w:next w:val="Normal"/>
    <w:uiPriority w:val="35"/>
    <w:rsid w:val="005D0E36"/>
    <w:pPr>
      <w:spacing w:before="0" w:after="200" w:line="240" w:lineRule="auto"/>
    </w:pPr>
    <w:rPr>
      <w:b/>
      <w:bCs/>
      <w:color w:val="4A442A" w:themeColor="background2" w:themeShade="40"/>
      <w:sz w:val="18"/>
      <w:szCs w:val="18"/>
    </w:rPr>
  </w:style>
  <w:style w:type="character" w:styleId="PlaceholderText">
    <w:name w:val="Placeholder Text"/>
    <w:basedOn w:val="DefaultParagraphFont"/>
    <w:uiPriority w:val="99"/>
    <w:semiHidden/>
    <w:rsid w:val="005D0E3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lsdException w:name="index 2" w:semiHidden="0"/>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uiPriority="39"/>
    <w:lsdException w:name="toc 8" w:uiPriority="39"/>
    <w:lsdException w:name="toc 9" w:uiPriority="39"/>
    <w:lsdException w:name="Normal Indent" w:semiHidden="0" w:uiPriority="9" w:qFormat="1"/>
    <w:lsdException w:name="header" w:semiHidden="0" w:uiPriority="24"/>
    <w:lsdException w:name="footer" w:semiHidden="0" w:uiPriority="24"/>
    <w:lsdException w:name="index heading" w:semiHidden="0"/>
    <w:lsdException w:name="caption" w:semiHidden="0" w:uiPriority="35"/>
    <w:lsdException w:name="page number" w:semiHidden="0" w:uiPriority="49"/>
    <w:lsdException w:name="Title" w:semiHidden="0"/>
    <w:lsdException w:name="Default Paragraph Font" w:uiPriority="1" w:unhideWhenUsed="1"/>
    <w:lsdException w:name="Body Text" w:uiPriority="49"/>
    <w:lsdException w:name="Subtitle" w:semiHidden="0"/>
    <w:lsdException w:name="Hyperlink" w:semiHidden="0"/>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0" w:uiPriority="39"/>
  </w:latentStyles>
  <w:style w:type="paragraph" w:default="1" w:styleId="Normal">
    <w:name w:val="Normal"/>
    <w:qFormat/>
    <w:rsid w:val="004F4B40"/>
    <w:pPr>
      <w:spacing w:before="100" w:after="100" w:line="264" w:lineRule="auto"/>
    </w:pPr>
    <w:rPr>
      <w:spacing w:val="2"/>
    </w:rPr>
  </w:style>
  <w:style w:type="paragraph" w:styleId="Heading1">
    <w:name w:val="heading 1"/>
    <w:next w:val="Normal"/>
    <w:link w:val="Heading1Char"/>
    <w:qFormat/>
    <w:rsid w:val="005D0E36"/>
    <w:pPr>
      <w:keepNext/>
      <w:keepLines/>
      <w:spacing w:before="520" w:after="400"/>
      <w:outlineLvl w:val="0"/>
    </w:pPr>
    <w:rPr>
      <w:rFonts w:asciiTheme="majorHAnsi" w:eastAsiaTheme="majorEastAsia" w:hAnsiTheme="majorHAnsi" w:cstheme="majorBidi"/>
      <w:b/>
      <w:bCs/>
      <w:color w:val="53565A"/>
      <w:spacing w:val="-1"/>
      <w:sz w:val="32"/>
      <w:szCs w:val="32"/>
    </w:rPr>
  </w:style>
  <w:style w:type="paragraph" w:styleId="Heading2">
    <w:name w:val="heading 2"/>
    <w:basedOn w:val="Normal"/>
    <w:next w:val="Normal"/>
    <w:link w:val="Heading2Char"/>
    <w:qFormat/>
    <w:rsid w:val="005D0E36"/>
    <w:pPr>
      <w:keepNext/>
      <w:keepLines/>
      <w:spacing w:before="280" w:after="240"/>
      <w:outlineLvl w:val="1"/>
    </w:pPr>
    <w:rPr>
      <w:rFonts w:asciiTheme="majorHAnsi" w:eastAsiaTheme="majorEastAsia" w:hAnsiTheme="majorHAnsi" w:cstheme="majorBidi"/>
      <w:b/>
      <w:bCs/>
      <w:color w:val="53565A"/>
      <w:sz w:val="28"/>
      <w:szCs w:val="26"/>
    </w:rPr>
  </w:style>
  <w:style w:type="paragraph" w:styleId="Heading3">
    <w:name w:val="heading 3"/>
    <w:basedOn w:val="Normal"/>
    <w:next w:val="Normal"/>
    <w:link w:val="Heading3Char"/>
    <w:qFormat/>
    <w:rsid w:val="005D0E36"/>
    <w:pPr>
      <w:keepNext/>
      <w:keepLines/>
      <w:spacing w:before="240" w:after="120"/>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qFormat/>
    <w:rsid w:val="005D0E36"/>
    <w:pPr>
      <w:keepNext/>
      <w:keepLines/>
      <w:spacing w:line="240" w:lineRule="auto"/>
      <w:jc w:val="center"/>
      <w:outlineLvl w:val="3"/>
    </w:pPr>
    <w:rPr>
      <w:rFonts w:asciiTheme="majorHAnsi" w:eastAsiaTheme="majorEastAsia" w:hAnsiTheme="majorHAnsi" w:cstheme="majorBidi"/>
      <w:b/>
      <w:bCs/>
      <w:iCs/>
      <w:color w:val="404040" w:themeColor="text1" w:themeTint="BF"/>
      <w:sz w:val="17"/>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5D0E3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5D0E36"/>
    <w:pPr>
      <w:spacing w:before="20" w:after="20" w:line="240" w:lineRule="auto"/>
      <w:jc w:val="right"/>
    </w:pPr>
    <w:rPr>
      <w:rFonts w:eastAsiaTheme="minorHAnsi"/>
      <w:spacing w:val="2"/>
      <w:sz w:val="17"/>
      <w:szCs w:val="21"/>
      <w:lang w:eastAsia="en-US"/>
    </w:rPr>
    <w:tblPr>
      <w:tblStyleColBandSize w:val="1"/>
      <w:tblBorders>
        <w:bottom w:val="single" w:sz="12" w:space="0" w:color="4F81BD"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rPr>
        <w:tblHeader/>
      </w:trPr>
      <w:tcPr>
        <w:shd w:val="clear" w:color="auto" w:fill="4F81BD" w:themeFill="accent1"/>
        <w:vAlign w:val="bottom"/>
      </w:tcPr>
    </w:tblStylePr>
    <w:tblStylePr w:type="lastRow">
      <w:rPr>
        <w:b/>
      </w:rPr>
      <w:tblPr/>
      <w:tcPr>
        <w:tcBorders>
          <w:top w:val="single" w:sz="6" w:space="0" w:color="4F81BD" w:themeColor="accent1"/>
          <w:left w:val="nil"/>
          <w:bottom w:val="single" w:sz="12" w:space="0" w:color="4F81BD" w:themeColor="accent1"/>
          <w:right w:val="nil"/>
          <w:insideV w:val="nil"/>
        </w:tcBorders>
      </w:tcPr>
    </w:tblStylePr>
    <w:tblStylePr w:type="firstCol">
      <w:pPr>
        <w:jc w:val="left"/>
      </w:pPr>
    </w:tblStylePr>
    <w:tblStylePr w:type="band1Vert">
      <w:pPr>
        <w:jc w:val="right"/>
      </w:pPr>
    </w:tblStylePr>
    <w:tblStylePr w:type="band2Vert">
      <w:pPr>
        <w:jc w:val="right"/>
      </w:pPr>
    </w:tblStylePr>
  </w:style>
  <w:style w:type="table" w:styleId="LightList-Accent4">
    <w:name w:val="Light List Accent 4"/>
    <w:basedOn w:val="TableNormal"/>
    <w:uiPriority w:val="61"/>
    <w:rsid w:val="005D0E3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1">
    <w:name w:val="Light List Accent 1"/>
    <w:basedOn w:val="TableNormal"/>
    <w:uiPriority w:val="61"/>
    <w:rsid w:val="005D0E3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1">
    <w:name w:val="toc 1"/>
    <w:basedOn w:val="Normal"/>
    <w:next w:val="Normal"/>
    <w:uiPriority w:val="39"/>
    <w:rsid w:val="005D0E36"/>
    <w:pPr>
      <w:tabs>
        <w:tab w:val="right" w:leader="dot" w:pos="8730"/>
      </w:tabs>
      <w:ind w:right="432"/>
    </w:pPr>
    <w:rPr>
      <w:noProof/>
      <w:sz w:val="24"/>
      <w:szCs w:val="24"/>
    </w:rPr>
  </w:style>
  <w:style w:type="paragraph" w:styleId="TOC2">
    <w:name w:val="toc 2"/>
    <w:next w:val="Normal"/>
    <w:uiPriority w:val="39"/>
    <w:rsid w:val="005D0E36"/>
    <w:pPr>
      <w:tabs>
        <w:tab w:val="right" w:leader="dot" w:pos="8730"/>
      </w:tabs>
      <w:spacing w:after="100"/>
      <w:ind w:left="446" w:right="432"/>
      <w:contextualSpacing/>
    </w:pPr>
    <w:rPr>
      <w:noProof/>
      <w:spacing w:val="2"/>
    </w:rPr>
  </w:style>
  <w:style w:type="paragraph" w:styleId="TOC3">
    <w:name w:val="toc 3"/>
    <w:basedOn w:val="Normal"/>
    <w:next w:val="Normal"/>
    <w:uiPriority w:val="39"/>
    <w:rsid w:val="005D0E36"/>
    <w:pPr>
      <w:tabs>
        <w:tab w:val="right" w:leader="dot" w:pos="8730"/>
      </w:tabs>
      <w:spacing w:before="0"/>
      <w:ind w:left="1080" w:right="432"/>
      <w:contextualSpacing/>
    </w:pPr>
    <w:rPr>
      <w:noProof/>
      <w:sz w:val="18"/>
      <w:szCs w:val="18"/>
    </w:rPr>
  </w:style>
  <w:style w:type="paragraph" w:styleId="Index1">
    <w:name w:val="index 1"/>
    <w:basedOn w:val="Normal"/>
    <w:next w:val="Normal"/>
    <w:uiPriority w:val="99"/>
    <w:semiHidden/>
    <w:rsid w:val="005D0E36"/>
    <w:pPr>
      <w:spacing w:after="60" w:line="240" w:lineRule="auto"/>
    </w:pPr>
    <w:rPr>
      <w:sz w:val="16"/>
    </w:rPr>
  </w:style>
  <w:style w:type="paragraph" w:styleId="Index2">
    <w:name w:val="index 2"/>
    <w:basedOn w:val="Normal"/>
    <w:next w:val="Normal"/>
    <w:uiPriority w:val="99"/>
    <w:semiHidden/>
    <w:rsid w:val="005D0E36"/>
    <w:pPr>
      <w:spacing w:after="0" w:line="240" w:lineRule="auto"/>
      <w:ind w:left="216"/>
    </w:pPr>
    <w:rPr>
      <w:sz w:val="16"/>
      <w:szCs w:val="16"/>
    </w:rPr>
  </w:style>
  <w:style w:type="character" w:styleId="Hyperlink">
    <w:name w:val="Hyperlink"/>
    <w:basedOn w:val="DefaultParagraphFont"/>
    <w:uiPriority w:val="99"/>
    <w:rsid w:val="005D0E36"/>
    <w:rPr>
      <w:color w:val="4F81BD" w:themeColor="accent1"/>
      <w:u w:val="none"/>
    </w:rPr>
  </w:style>
  <w:style w:type="character" w:customStyle="1" w:styleId="Heading1Char">
    <w:name w:val="Heading 1 Char"/>
    <w:basedOn w:val="DefaultParagraphFont"/>
    <w:link w:val="Heading1"/>
    <w:rsid w:val="005D0E36"/>
    <w:rPr>
      <w:rFonts w:asciiTheme="majorHAnsi" w:eastAsiaTheme="majorEastAsia" w:hAnsiTheme="majorHAnsi" w:cstheme="majorBidi"/>
      <w:b/>
      <w:bCs/>
      <w:color w:val="53565A"/>
      <w:spacing w:val="-1"/>
      <w:sz w:val="32"/>
      <w:szCs w:val="32"/>
    </w:rPr>
  </w:style>
  <w:style w:type="character" w:customStyle="1" w:styleId="Heading2Char">
    <w:name w:val="Heading 2 Char"/>
    <w:basedOn w:val="DefaultParagraphFont"/>
    <w:link w:val="Heading2"/>
    <w:rsid w:val="005D0E36"/>
    <w:rPr>
      <w:rFonts w:asciiTheme="majorHAnsi" w:eastAsiaTheme="majorEastAsia" w:hAnsiTheme="majorHAnsi" w:cstheme="majorBidi"/>
      <w:b/>
      <w:bCs/>
      <w:color w:val="53565A"/>
      <w:spacing w:val="2"/>
      <w:sz w:val="28"/>
      <w:szCs w:val="26"/>
    </w:rPr>
  </w:style>
  <w:style w:type="paragraph" w:customStyle="1" w:styleId="Bullet1">
    <w:name w:val="Bullet 1"/>
    <w:uiPriority w:val="1"/>
    <w:qFormat/>
    <w:rsid w:val="005D0E36"/>
    <w:pPr>
      <w:numPr>
        <w:numId w:val="1"/>
      </w:numPr>
      <w:spacing w:before="100" w:after="100" w:line="240" w:lineRule="auto"/>
      <w:contextualSpacing/>
    </w:pPr>
    <w:rPr>
      <w:rFonts w:eastAsia="Times New Roman" w:cs="Calibri"/>
      <w:spacing w:val="2"/>
    </w:rPr>
  </w:style>
  <w:style w:type="paragraph" w:customStyle="1" w:styleId="Bullet2">
    <w:name w:val="Bullet 2"/>
    <w:basedOn w:val="Bullet1"/>
    <w:uiPriority w:val="1"/>
    <w:qFormat/>
    <w:rsid w:val="005D0E36"/>
    <w:pPr>
      <w:numPr>
        <w:ilvl w:val="1"/>
      </w:numPr>
    </w:pPr>
  </w:style>
  <w:style w:type="paragraph" w:customStyle="1" w:styleId="Bulletindent">
    <w:name w:val="Bullet indent"/>
    <w:basedOn w:val="Bullet2"/>
    <w:uiPriority w:val="9"/>
    <w:qFormat/>
    <w:rsid w:val="005D0E36"/>
    <w:pPr>
      <w:numPr>
        <w:ilvl w:val="2"/>
      </w:numPr>
    </w:pPr>
  </w:style>
  <w:style w:type="paragraph" w:customStyle="1" w:styleId="Heading1numbered">
    <w:name w:val="Heading 1 numbered"/>
    <w:basedOn w:val="Heading1"/>
    <w:next w:val="NormalIndent"/>
    <w:uiPriority w:val="8"/>
    <w:qFormat/>
    <w:rsid w:val="005D0E36"/>
    <w:pPr>
      <w:numPr>
        <w:ilvl w:val="2"/>
        <w:numId w:val="4"/>
      </w:numPr>
    </w:pPr>
  </w:style>
  <w:style w:type="paragraph" w:customStyle="1" w:styleId="Heading2numbered">
    <w:name w:val="Heading 2 numbered"/>
    <w:basedOn w:val="Heading2"/>
    <w:next w:val="NormalIndent"/>
    <w:uiPriority w:val="8"/>
    <w:qFormat/>
    <w:rsid w:val="005D0E36"/>
    <w:pPr>
      <w:numPr>
        <w:ilvl w:val="3"/>
        <w:numId w:val="4"/>
      </w:numPr>
    </w:pPr>
  </w:style>
  <w:style w:type="paragraph" w:customStyle="1" w:styleId="Heading3numbered">
    <w:name w:val="Heading 3 numbered"/>
    <w:basedOn w:val="Heading3"/>
    <w:next w:val="NormalIndent"/>
    <w:uiPriority w:val="8"/>
    <w:qFormat/>
    <w:rsid w:val="005D0E36"/>
    <w:pPr>
      <w:numPr>
        <w:ilvl w:val="4"/>
        <w:numId w:val="4"/>
      </w:numPr>
    </w:pPr>
  </w:style>
  <w:style w:type="character" w:customStyle="1" w:styleId="Heading3Char">
    <w:name w:val="Heading 3 Char"/>
    <w:basedOn w:val="DefaultParagraphFont"/>
    <w:link w:val="Heading3"/>
    <w:rsid w:val="005D0E36"/>
    <w:rPr>
      <w:rFonts w:asciiTheme="majorHAnsi" w:eastAsiaTheme="majorEastAsia" w:hAnsiTheme="majorHAnsi" w:cstheme="majorBidi"/>
      <w:b/>
      <w:bCs/>
      <w:color w:val="4F81BD" w:themeColor="accent1"/>
      <w:spacing w:val="2"/>
      <w:sz w:val="22"/>
      <w:szCs w:val="22"/>
    </w:rPr>
  </w:style>
  <w:style w:type="paragraph" w:customStyle="1" w:styleId="Heading4numbered">
    <w:name w:val="Heading 4 numbered"/>
    <w:basedOn w:val="Heading4"/>
    <w:next w:val="NormalIndent"/>
    <w:uiPriority w:val="8"/>
    <w:qFormat/>
    <w:rsid w:val="005D0E36"/>
    <w:pPr>
      <w:numPr>
        <w:ilvl w:val="5"/>
        <w:numId w:val="4"/>
      </w:numPr>
    </w:pPr>
  </w:style>
  <w:style w:type="character" w:customStyle="1" w:styleId="Heading4Char">
    <w:name w:val="Heading 4 Char"/>
    <w:basedOn w:val="DefaultParagraphFont"/>
    <w:link w:val="Heading4"/>
    <w:rsid w:val="005D0E36"/>
    <w:rPr>
      <w:rFonts w:asciiTheme="majorHAnsi" w:eastAsiaTheme="majorEastAsia" w:hAnsiTheme="majorHAnsi" w:cstheme="majorBidi"/>
      <w:b/>
      <w:bCs/>
      <w:iCs/>
      <w:color w:val="404040" w:themeColor="text1" w:themeTint="BF"/>
      <w:spacing w:val="2"/>
      <w:sz w:val="17"/>
      <w:szCs w:val="21"/>
      <w:lang w:eastAsia="en-US"/>
    </w:rPr>
  </w:style>
  <w:style w:type="paragraph" w:styleId="NormalIndent">
    <w:name w:val="Normal Indent"/>
    <w:basedOn w:val="Normal"/>
    <w:uiPriority w:val="9"/>
    <w:qFormat/>
    <w:rsid w:val="005D0E36"/>
    <w:pPr>
      <w:spacing w:line="252" w:lineRule="auto"/>
      <w:ind w:left="792"/>
    </w:pPr>
  </w:style>
  <w:style w:type="paragraph" w:customStyle="1" w:styleId="NoteNormal">
    <w:name w:val="Note Normal"/>
    <w:basedOn w:val="Normal"/>
    <w:rsid w:val="005D0E36"/>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5D0E36"/>
    <w:pPr>
      <w:spacing w:before="0" w:after="0" w:line="120" w:lineRule="atLeast"/>
    </w:pPr>
    <w:rPr>
      <w:rFonts w:eastAsia="Times New Roman" w:cs="Calibri"/>
      <w:spacing w:val="0"/>
      <w:sz w:val="10"/>
      <w:szCs w:val="22"/>
    </w:rPr>
  </w:style>
  <w:style w:type="paragraph" w:styleId="Subtitle">
    <w:name w:val="Subtitle"/>
    <w:next w:val="TertiaryTitle"/>
    <w:link w:val="SubtitleChar"/>
    <w:uiPriority w:val="99"/>
    <w:rsid w:val="005D0E36"/>
    <w:pPr>
      <w:spacing w:after="120" w:line="440" w:lineRule="exact"/>
    </w:pPr>
    <w:rPr>
      <w:rFonts w:asciiTheme="majorHAnsi" w:eastAsia="Times New Roman" w:hAnsiTheme="majorHAnsi" w:cstheme="majorHAnsi"/>
      <w:color w:val="4F81BD" w:themeColor="accent1"/>
      <w:spacing w:val="-2"/>
      <w:sz w:val="40"/>
      <w:szCs w:val="24"/>
    </w:rPr>
  </w:style>
  <w:style w:type="character" w:customStyle="1" w:styleId="SubtitleChar">
    <w:name w:val="Subtitle Char"/>
    <w:basedOn w:val="DefaultParagraphFont"/>
    <w:link w:val="Subtitle"/>
    <w:uiPriority w:val="99"/>
    <w:rsid w:val="005D0E36"/>
    <w:rPr>
      <w:rFonts w:asciiTheme="majorHAnsi" w:eastAsia="Times New Roman" w:hAnsiTheme="majorHAnsi" w:cstheme="majorHAnsi"/>
      <w:color w:val="4F81BD" w:themeColor="accent1"/>
      <w:spacing w:val="-2"/>
      <w:sz w:val="40"/>
      <w:szCs w:val="24"/>
    </w:rPr>
  </w:style>
  <w:style w:type="paragraph" w:customStyle="1" w:styleId="TertiaryTitle">
    <w:name w:val="Tertiary Title"/>
    <w:next w:val="Normal"/>
    <w:uiPriority w:val="99"/>
    <w:rsid w:val="005D0E36"/>
    <w:pPr>
      <w:spacing w:after="0"/>
    </w:pPr>
    <w:rPr>
      <w:rFonts w:asciiTheme="majorHAnsi" w:eastAsia="Times New Roman" w:hAnsiTheme="majorHAnsi" w:cstheme="majorHAnsi"/>
      <w:color w:val="4F81BD" w:themeColor="accent1"/>
      <w:spacing w:val="-2"/>
      <w:szCs w:val="40"/>
      <w:lang w:eastAsia="en-US"/>
    </w:rPr>
  </w:style>
  <w:style w:type="paragraph" w:styleId="Title">
    <w:name w:val="Title"/>
    <w:next w:val="Subtitle"/>
    <w:link w:val="TitleChar"/>
    <w:uiPriority w:val="99"/>
    <w:rsid w:val="005D0E36"/>
    <w:pPr>
      <w:spacing w:after="240" w:line="252" w:lineRule="auto"/>
    </w:pPr>
    <w:rPr>
      <w:rFonts w:asciiTheme="majorHAnsi" w:eastAsia="Times New Roman" w:hAnsiTheme="majorHAnsi" w:cstheme="majorHAnsi"/>
      <w:b/>
      <w:color w:val="4F81BD" w:themeColor="accent1"/>
      <w:spacing w:val="-2"/>
      <w:sz w:val="52"/>
      <w:szCs w:val="22"/>
    </w:rPr>
  </w:style>
  <w:style w:type="character" w:customStyle="1" w:styleId="TitleChar">
    <w:name w:val="Title Char"/>
    <w:basedOn w:val="DefaultParagraphFont"/>
    <w:link w:val="Title"/>
    <w:uiPriority w:val="99"/>
    <w:rsid w:val="005D0E36"/>
    <w:rPr>
      <w:rFonts w:asciiTheme="majorHAnsi" w:eastAsia="Times New Roman" w:hAnsiTheme="majorHAnsi" w:cstheme="majorHAnsi"/>
      <w:b/>
      <w:color w:val="4F81BD" w:themeColor="accent1"/>
      <w:spacing w:val="-2"/>
      <w:sz w:val="52"/>
      <w:szCs w:val="22"/>
    </w:rPr>
  </w:style>
  <w:style w:type="paragraph" w:styleId="BalloonText">
    <w:name w:val="Balloon Text"/>
    <w:basedOn w:val="Normal"/>
    <w:link w:val="BalloonTextChar"/>
    <w:uiPriority w:val="99"/>
    <w:semiHidden/>
    <w:rsid w:val="005D0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E36"/>
    <w:rPr>
      <w:rFonts w:ascii="Tahoma" w:hAnsi="Tahoma" w:cs="Tahoma"/>
      <w:spacing w:val="2"/>
      <w:sz w:val="16"/>
      <w:szCs w:val="16"/>
    </w:rPr>
  </w:style>
  <w:style w:type="paragraph" w:customStyle="1" w:styleId="Bulletindent2">
    <w:name w:val="Bullet indent 2"/>
    <w:basedOn w:val="Normal"/>
    <w:uiPriority w:val="9"/>
    <w:qFormat/>
    <w:rsid w:val="005D0E36"/>
    <w:pPr>
      <w:numPr>
        <w:ilvl w:val="3"/>
        <w:numId w:val="1"/>
      </w:numPr>
      <w:contextualSpacing/>
    </w:pPr>
  </w:style>
  <w:style w:type="paragraph" w:styleId="IndexHeading">
    <w:name w:val="index heading"/>
    <w:basedOn w:val="Normal"/>
    <w:next w:val="Index1"/>
    <w:uiPriority w:val="99"/>
    <w:semiHidden/>
    <w:rsid w:val="005D0E36"/>
    <w:rPr>
      <w:rFonts w:asciiTheme="majorHAnsi" w:eastAsiaTheme="majorEastAsia" w:hAnsiTheme="majorHAnsi" w:cstheme="majorBidi"/>
      <w:b/>
      <w:bCs/>
    </w:rPr>
  </w:style>
  <w:style w:type="paragraph" w:styleId="Header">
    <w:name w:val="header"/>
    <w:basedOn w:val="Normal"/>
    <w:link w:val="HeaderChar"/>
    <w:uiPriority w:val="24"/>
    <w:rsid w:val="005D0E36"/>
    <w:pPr>
      <w:tabs>
        <w:tab w:val="center" w:pos="4513"/>
        <w:tab w:val="right" w:pos="9026"/>
      </w:tabs>
      <w:spacing w:after="0" w:line="240" w:lineRule="auto"/>
    </w:pPr>
  </w:style>
  <w:style w:type="character" w:customStyle="1" w:styleId="HeaderChar">
    <w:name w:val="Header Char"/>
    <w:basedOn w:val="DefaultParagraphFont"/>
    <w:link w:val="Header"/>
    <w:uiPriority w:val="24"/>
    <w:rsid w:val="005D0E36"/>
    <w:rPr>
      <w:spacing w:val="2"/>
    </w:rPr>
  </w:style>
  <w:style w:type="paragraph" w:styleId="Footer">
    <w:name w:val="footer"/>
    <w:basedOn w:val="Normal"/>
    <w:link w:val="FooterChar"/>
    <w:uiPriority w:val="24"/>
    <w:rsid w:val="005D0E36"/>
    <w:pPr>
      <w:tabs>
        <w:tab w:val="right" w:pos="14760"/>
      </w:tabs>
      <w:spacing w:before="0" w:after="0" w:line="240" w:lineRule="auto"/>
      <w:ind w:right="-784"/>
    </w:pPr>
    <w:rPr>
      <w:noProof/>
      <w:sz w:val="18"/>
      <w:szCs w:val="18"/>
    </w:rPr>
  </w:style>
  <w:style w:type="character" w:customStyle="1" w:styleId="FooterChar">
    <w:name w:val="Footer Char"/>
    <w:basedOn w:val="DefaultParagraphFont"/>
    <w:link w:val="Footer"/>
    <w:uiPriority w:val="24"/>
    <w:rsid w:val="005D0E36"/>
    <w:rPr>
      <w:noProof/>
      <w:spacing w:val="2"/>
      <w:sz w:val="18"/>
      <w:szCs w:val="18"/>
    </w:rPr>
  </w:style>
  <w:style w:type="character" w:styleId="PageNumber">
    <w:name w:val="page number"/>
    <w:uiPriority w:val="49"/>
    <w:semiHidden/>
    <w:rsid w:val="005D0E36"/>
    <w:rPr>
      <w:rFonts w:asciiTheme="minorHAnsi" w:hAnsiTheme="minorHAnsi"/>
      <w:b w:val="0"/>
      <w:color w:val="FFFFFF" w:themeColor="background1"/>
      <w:sz w:val="24"/>
    </w:rPr>
  </w:style>
  <w:style w:type="paragraph" w:styleId="TOCHeading">
    <w:name w:val="TOC Heading"/>
    <w:basedOn w:val="Heading1"/>
    <w:next w:val="Normal"/>
    <w:uiPriority w:val="39"/>
    <w:rsid w:val="005D0E36"/>
    <w:pPr>
      <w:spacing w:before="480" w:after="720"/>
      <w:outlineLvl w:val="9"/>
    </w:pPr>
    <w:rPr>
      <w:color w:val="1F497D" w:themeColor="text2"/>
      <w:spacing w:val="2"/>
    </w:rPr>
  </w:style>
  <w:style w:type="paragraph" w:customStyle="1" w:styleId="NormalTight">
    <w:name w:val="Normal Tight"/>
    <w:uiPriority w:val="99"/>
    <w:semiHidden/>
    <w:rsid w:val="005D0E36"/>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5D0E36"/>
    <w:pPr>
      <w:spacing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5D0E36"/>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5D0E36"/>
    <w:pPr>
      <w:spacing w:before="5800"/>
      <w:ind w:right="1382"/>
    </w:pPr>
  </w:style>
  <w:style w:type="paragraph" w:styleId="TOC4">
    <w:name w:val="toc 4"/>
    <w:basedOn w:val="TOC1"/>
    <w:next w:val="Normal"/>
    <w:uiPriority w:val="39"/>
    <w:rsid w:val="005D0E36"/>
    <w:pPr>
      <w:ind w:left="450" w:hanging="450"/>
    </w:pPr>
    <w:rPr>
      <w:lang w:eastAsia="en-US"/>
    </w:rPr>
  </w:style>
  <w:style w:type="paragraph" w:styleId="TOC5">
    <w:name w:val="toc 5"/>
    <w:basedOn w:val="TOC2"/>
    <w:next w:val="Normal"/>
    <w:uiPriority w:val="39"/>
    <w:rsid w:val="005D0E36"/>
    <w:pPr>
      <w:ind w:left="1080" w:hanging="634"/>
    </w:pPr>
    <w:rPr>
      <w:lang w:eastAsia="en-US"/>
    </w:rPr>
  </w:style>
  <w:style w:type="paragraph" w:styleId="TOC6">
    <w:name w:val="toc 6"/>
    <w:basedOn w:val="TOC3"/>
    <w:next w:val="Normal"/>
    <w:uiPriority w:val="39"/>
    <w:rsid w:val="005D0E36"/>
    <w:pPr>
      <w:ind w:left="1800" w:hanging="720"/>
    </w:pPr>
    <w:rPr>
      <w:lang w:eastAsia="en-US"/>
    </w:rPr>
  </w:style>
  <w:style w:type="table" w:customStyle="1" w:styleId="DTFtexttable">
    <w:name w:val="DTF text table"/>
    <w:basedOn w:val="TableGrid"/>
    <w:uiPriority w:val="99"/>
    <w:rsid w:val="004F4B40"/>
    <w:pPr>
      <w:spacing w:before="30" w:after="30" w:line="264" w:lineRule="auto"/>
      <w:jc w:val="left"/>
    </w:pPr>
    <w:tblPr>
      <w:tblStyleRowBandSize w:val="1"/>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4F81BD" w:themeFill="accent1"/>
        <w:vAlign w:val="bottom"/>
      </w:tcPr>
    </w:tblStylePr>
    <w:tblStylePr w:type="lastRow">
      <w:rPr>
        <w:b/>
      </w:rPr>
      <w:tblPr/>
      <w:tcPr>
        <w:tcBorders>
          <w:top w:val="single" w:sz="6" w:space="0" w:color="4F81BD" w:themeColor="accent1"/>
          <w:left w:val="nil"/>
          <w:bottom w:val="single" w:sz="12" w:space="0" w:color="4F81BD" w:themeColor="accent1"/>
          <w:right w:val="nil"/>
          <w:insideV w:val="nil"/>
        </w:tcBorders>
      </w:tcPr>
    </w:tblStylePr>
    <w:tblStylePr w:type="firstCol">
      <w:pPr>
        <w:jc w:val="left"/>
      </w:pPr>
      <w:tblPr/>
      <w:tcPr>
        <w:shd w:val="clear" w:color="auto" w:fill="EBEBEB"/>
      </w:tcPr>
    </w:tblStylePr>
    <w:tblStylePr w:type="lastCol">
      <w:pPr>
        <w:jc w:val="left"/>
      </w:pPr>
    </w:tblStylePr>
    <w:tblStylePr w:type="band1Vert">
      <w:pPr>
        <w:jc w:val="left"/>
      </w:pPr>
    </w:tblStylePr>
    <w:tblStylePr w:type="band2Vert">
      <w:pPr>
        <w:jc w:val="left"/>
      </w:pPr>
    </w:tblStylePr>
    <w:tblStylePr w:type="band2Horz">
      <w:tblPr/>
      <w:tcPr>
        <w:shd w:val="clear" w:color="auto" w:fill="EBEBEB"/>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5D0E36"/>
    <w:pPr>
      <w:spacing w:before="30" w:after="30" w:line="264" w:lineRule="auto"/>
    </w:pPr>
    <w:tblPr>
      <w:tblStyleRowBandSize w:val="1"/>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4F81BD" w:themeFill="accent1"/>
        <w:vAlign w:val="bottom"/>
      </w:tcPr>
    </w:tblStylePr>
    <w:tblStylePr w:type="lastRow">
      <w:rPr>
        <w:b/>
      </w:rPr>
      <w:tblPr/>
      <w:tcPr>
        <w:tcBorders>
          <w:top w:val="single" w:sz="6" w:space="0" w:color="4F81BD" w:themeColor="accent1"/>
          <w:left w:val="nil"/>
          <w:bottom w:val="single" w:sz="12" w:space="0" w:color="4F81BD" w:themeColor="accent1"/>
          <w:right w:val="nil"/>
          <w:insideV w:val="nil"/>
        </w:tcBorders>
      </w:tcPr>
    </w:tblStylePr>
    <w:tblStylePr w:type="firstCol">
      <w:pPr>
        <w:jc w:val="left"/>
      </w:pPr>
      <w:tblPr/>
      <w:tcPr>
        <w:shd w:val="clear" w:color="auto" w:fill="EBEBEB"/>
      </w:tcPr>
    </w:tblStylePr>
    <w:tblStylePr w:type="band1Vert">
      <w:pPr>
        <w:jc w:val="right"/>
      </w:pPr>
    </w:tblStylePr>
    <w:tblStylePr w:type="band2Vert">
      <w:pPr>
        <w:jc w:val="right"/>
      </w:pPr>
    </w:tblStylePr>
    <w:tblStylePr w:type="band2Horz">
      <w:tblPr/>
      <w:tcPr>
        <w:shd w:val="clear" w:color="auto" w:fill="EBEBEB"/>
      </w:tcPr>
    </w:tblStylePr>
    <w:tblStylePr w:type="nwCell">
      <w:pPr>
        <w:jc w:val="left"/>
      </w:pPr>
      <w:tblPr/>
      <w:tcPr>
        <w:vAlign w:val="bottom"/>
      </w:tcPr>
    </w:tblStylePr>
  </w:style>
  <w:style w:type="paragraph" w:customStyle="1" w:styleId="Tabletext">
    <w:name w:val="Table text"/>
    <w:basedOn w:val="Normal"/>
    <w:uiPriority w:val="5"/>
    <w:qFormat/>
    <w:rsid w:val="005D0E36"/>
    <w:pPr>
      <w:spacing w:before="60" w:after="60"/>
    </w:pPr>
    <w:rPr>
      <w:sz w:val="17"/>
    </w:rPr>
  </w:style>
  <w:style w:type="paragraph" w:customStyle="1" w:styleId="Tabletextright">
    <w:name w:val="Table text right"/>
    <w:basedOn w:val="Tabletext"/>
    <w:uiPriority w:val="5"/>
    <w:qFormat/>
    <w:rsid w:val="005D0E36"/>
    <w:pPr>
      <w:jc w:val="right"/>
    </w:pPr>
  </w:style>
  <w:style w:type="paragraph" w:customStyle="1" w:styleId="Listnumindent2">
    <w:name w:val="List num indent 2"/>
    <w:basedOn w:val="Normal"/>
    <w:uiPriority w:val="9"/>
    <w:qFormat/>
    <w:rsid w:val="005D0E36"/>
    <w:pPr>
      <w:numPr>
        <w:ilvl w:val="7"/>
        <w:numId w:val="4"/>
      </w:numPr>
      <w:contextualSpacing/>
    </w:pPr>
  </w:style>
  <w:style w:type="paragraph" w:customStyle="1" w:styleId="Listnumindent">
    <w:name w:val="List num indent"/>
    <w:basedOn w:val="Normal"/>
    <w:uiPriority w:val="9"/>
    <w:qFormat/>
    <w:rsid w:val="005D0E36"/>
    <w:pPr>
      <w:numPr>
        <w:ilvl w:val="6"/>
        <w:numId w:val="4"/>
      </w:numPr>
    </w:pPr>
  </w:style>
  <w:style w:type="paragraph" w:customStyle="1" w:styleId="Listnum">
    <w:name w:val="List num"/>
    <w:basedOn w:val="Normal"/>
    <w:uiPriority w:val="2"/>
    <w:qFormat/>
    <w:rsid w:val="005D0E36"/>
    <w:pPr>
      <w:numPr>
        <w:numId w:val="4"/>
      </w:numPr>
    </w:pPr>
  </w:style>
  <w:style w:type="paragraph" w:customStyle="1" w:styleId="Listnum2">
    <w:name w:val="List num 2"/>
    <w:basedOn w:val="Normal"/>
    <w:uiPriority w:val="2"/>
    <w:qFormat/>
    <w:rsid w:val="005D0E36"/>
    <w:pPr>
      <w:numPr>
        <w:ilvl w:val="1"/>
        <w:numId w:val="4"/>
      </w:numPr>
    </w:pPr>
  </w:style>
  <w:style w:type="paragraph" w:customStyle="1" w:styleId="Tabletextcentred">
    <w:name w:val="Table text centred"/>
    <w:basedOn w:val="Tabletext"/>
    <w:uiPriority w:val="5"/>
    <w:qFormat/>
    <w:rsid w:val="005D0E36"/>
    <w:pPr>
      <w:jc w:val="center"/>
    </w:pPr>
  </w:style>
  <w:style w:type="paragraph" w:customStyle="1" w:styleId="Tableheader">
    <w:name w:val="Table header"/>
    <w:basedOn w:val="Tabletext"/>
    <w:uiPriority w:val="5"/>
    <w:qFormat/>
    <w:rsid w:val="005D0E36"/>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5D0E36"/>
    <w:pPr>
      <w:numPr>
        <w:numId w:val="17"/>
      </w:numPr>
    </w:pPr>
  </w:style>
  <w:style w:type="paragraph" w:customStyle="1" w:styleId="Tabledash">
    <w:name w:val="Table dash"/>
    <w:basedOn w:val="Tablebullet"/>
    <w:uiPriority w:val="6"/>
    <w:rsid w:val="005D0E36"/>
    <w:pPr>
      <w:numPr>
        <w:ilvl w:val="1"/>
      </w:numPr>
    </w:pPr>
  </w:style>
  <w:style w:type="paragraph" w:customStyle="1" w:styleId="Tabletextindent">
    <w:name w:val="Table text indent"/>
    <w:basedOn w:val="Tabletext"/>
    <w:uiPriority w:val="5"/>
    <w:qFormat/>
    <w:rsid w:val="005D0E36"/>
    <w:pPr>
      <w:ind w:left="288"/>
    </w:pPr>
  </w:style>
  <w:style w:type="paragraph" w:customStyle="1" w:styleId="Numpara">
    <w:name w:val="Num para"/>
    <w:basedOn w:val="ListParagraph"/>
    <w:uiPriority w:val="2"/>
    <w:qFormat/>
    <w:rsid w:val="005D0E36"/>
    <w:pPr>
      <w:numPr>
        <w:numId w:val="19"/>
      </w:numPr>
      <w:tabs>
        <w:tab w:val="left" w:pos="540"/>
      </w:tabs>
    </w:pPr>
  </w:style>
  <w:style w:type="paragraph" w:styleId="ListParagraph">
    <w:name w:val="List Paragraph"/>
    <w:basedOn w:val="Normal"/>
    <w:uiPriority w:val="34"/>
    <w:semiHidden/>
    <w:qFormat/>
    <w:rsid w:val="005D0E36"/>
    <w:pPr>
      <w:ind w:left="720"/>
      <w:contextualSpacing/>
    </w:pPr>
  </w:style>
  <w:style w:type="paragraph" w:customStyle="1" w:styleId="Tablechartdiagramheading">
    <w:name w:val="Table/chart/diagram heading"/>
    <w:uiPriority w:val="4"/>
    <w:qFormat/>
    <w:rsid w:val="005D0E36"/>
    <w:pPr>
      <w:tabs>
        <w:tab w:val="left" w:pos="1080"/>
      </w:tabs>
      <w:spacing w:before="160" w:after="100"/>
    </w:pPr>
    <w:rPr>
      <w:b/>
      <w:bCs/>
      <w:color w:val="4F81BD" w:themeColor="accent1"/>
      <w:spacing w:val="2"/>
      <w:sz w:val="18"/>
      <w:szCs w:val="18"/>
    </w:rPr>
  </w:style>
  <w:style w:type="paragraph" w:styleId="FootnoteText">
    <w:name w:val="footnote text"/>
    <w:basedOn w:val="Normal"/>
    <w:link w:val="FootnoteTextChar"/>
    <w:uiPriority w:val="99"/>
    <w:semiHidden/>
    <w:rsid w:val="005D0E36"/>
    <w:pPr>
      <w:spacing w:before="0" w:after="0" w:line="240" w:lineRule="auto"/>
    </w:pPr>
    <w:rPr>
      <w:sz w:val="17"/>
    </w:rPr>
  </w:style>
  <w:style w:type="character" w:customStyle="1" w:styleId="FootnoteTextChar">
    <w:name w:val="Footnote Text Char"/>
    <w:basedOn w:val="DefaultParagraphFont"/>
    <w:link w:val="FootnoteText"/>
    <w:uiPriority w:val="99"/>
    <w:semiHidden/>
    <w:rsid w:val="005D0E36"/>
    <w:rPr>
      <w:spacing w:val="2"/>
      <w:sz w:val="17"/>
    </w:rPr>
  </w:style>
  <w:style w:type="character" w:styleId="FootnoteReference">
    <w:name w:val="footnote reference"/>
    <w:basedOn w:val="DefaultParagraphFont"/>
    <w:uiPriority w:val="99"/>
    <w:semiHidden/>
    <w:rsid w:val="005D0E36"/>
    <w:rPr>
      <w:vertAlign w:val="superscript"/>
    </w:rPr>
  </w:style>
  <w:style w:type="table" w:customStyle="1" w:styleId="DTFfinancialtableindent">
    <w:name w:val="DTF financial table indent"/>
    <w:basedOn w:val="DTFfinancialtable"/>
    <w:uiPriority w:val="99"/>
    <w:rsid w:val="005D0E36"/>
    <w:pPr>
      <w:spacing w:after="0" w:line="240" w:lineRule="auto"/>
    </w:pPr>
    <w:tblPr>
      <w:tblInd w:w="821" w:type="dxa"/>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4F81BD" w:themeFill="accent1"/>
        <w:vAlign w:val="bottom"/>
      </w:tcPr>
    </w:tblStylePr>
    <w:tblStylePr w:type="lastRow">
      <w:rPr>
        <w:b/>
      </w:rPr>
      <w:tblPr/>
      <w:tcPr>
        <w:tcBorders>
          <w:top w:val="single" w:sz="6" w:space="0" w:color="4F81BD" w:themeColor="accent1"/>
          <w:left w:val="nil"/>
          <w:bottom w:val="single" w:sz="12" w:space="0" w:color="4F81BD" w:themeColor="accent1"/>
          <w:right w:val="nil"/>
          <w:insideV w:val="nil"/>
        </w:tcBorders>
      </w:tcPr>
    </w:tblStylePr>
    <w:tblStylePr w:type="firstCol">
      <w:pPr>
        <w:jc w:val="left"/>
      </w:pPr>
      <w:tblPr/>
      <w:tcPr>
        <w:shd w:val="clear" w:color="auto" w:fill="EBEBEB"/>
      </w:tcPr>
    </w:tblStylePr>
    <w:tblStylePr w:type="band1Vert">
      <w:pPr>
        <w:jc w:val="right"/>
      </w:pPr>
    </w:tblStylePr>
    <w:tblStylePr w:type="band2Vert">
      <w:pPr>
        <w:jc w:val="right"/>
      </w:pPr>
    </w:tblStylePr>
    <w:tblStylePr w:type="band2Horz">
      <w:tblPr/>
      <w:tcPr>
        <w:shd w:val="clear" w:color="auto" w:fill="EBEBEB"/>
      </w:tcPr>
    </w:tblStylePr>
    <w:tblStylePr w:type="nwCell">
      <w:pPr>
        <w:jc w:val="left"/>
      </w:pPr>
      <w:tblPr/>
      <w:tcPr>
        <w:vAlign w:val="bottom"/>
      </w:tcPr>
    </w:tblStylePr>
  </w:style>
  <w:style w:type="table" w:customStyle="1" w:styleId="DTFtexttableindent">
    <w:name w:val="DTF text table indent"/>
    <w:basedOn w:val="DTFtexttable"/>
    <w:uiPriority w:val="99"/>
    <w:rsid w:val="005D0E36"/>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4F81BD" w:themeFill="accent1"/>
        <w:vAlign w:val="bottom"/>
      </w:tcPr>
    </w:tblStylePr>
    <w:tblStylePr w:type="lastRow">
      <w:rPr>
        <w:b/>
      </w:rPr>
      <w:tblPr/>
      <w:tcPr>
        <w:tcBorders>
          <w:top w:val="single" w:sz="6" w:space="0" w:color="4F81BD" w:themeColor="accent1"/>
          <w:left w:val="nil"/>
          <w:bottom w:val="single" w:sz="12" w:space="0" w:color="4F81BD" w:themeColor="accent1"/>
          <w:right w:val="nil"/>
          <w:insideV w:val="nil"/>
        </w:tcBorders>
      </w:tcPr>
    </w:tblStylePr>
    <w:tblStylePr w:type="firstCol">
      <w:pPr>
        <w:jc w:val="left"/>
      </w:pPr>
      <w:tblPr/>
      <w:tcPr>
        <w:shd w:val="clear" w:color="auto" w:fill="EBEBEB"/>
      </w:tcPr>
    </w:tblStylePr>
    <w:tblStylePr w:type="lastCol">
      <w:pPr>
        <w:jc w:val="left"/>
      </w:pPr>
    </w:tblStylePr>
    <w:tblStylePr w:type="band1Vert">
      <w:pPr>
        <w:jc w:val="left"/>
      </w:pPr>
    </w:tblStylePr>
    <w:tblStylePr w:type="band2Vert">
      <w:pPr>
        <w:jc w:val="left"/>
      </w:pPr>
    </w:tblStylePr>
    <w:tblStylePr w:type="band2Horz">
      <w:tblPr/>
      <w:tcPr>
        <w:shd w:val="clear" w:color="auto" w:fill="EBEBEB"/>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5D0E36"/>
    <w:pPr>
      <w:numPr>
        <w:ilvl w:val="8"/>
        <w:numId w:val="4"/>
      </w:numPr>
      <w:tabs>
        <w:tab w:val="clear" w:pos="540"/>
      </w:tabs>
    </w:pPr>
  </w:style>
  <w:style w:type="paragraph" w:customStyle="1" w:styleId="Tablenum1">
    <w:name w:val="Table num 1"/>
    <w:basedOn w:val="Normal"/>
    <w:uiPriority w:val="6"/>
    <w:rsid w:val="005D0E36"/>
    <w:pPr>
      <w:numPr>
        <w:ilvl w:val="2"/>
        <w:numId w:val="17"/>
      </w:numPr>
    </w:pPr>
    <w:rPr>
      <w:sz w:val="17"/>
    </w:rPr>
  </w:style>
  <w:style w:type="paragraph" w:customStyle="1" w:styleId="Tablenum2">
    <w:name w:val="Table num 2"/>
    <w:basedOn w:val="Normal"/>
    <w:uiPriority w:val="6"/>
    <w:rsid w:val="005D0E36"/>
    <w:pPr>
      <w:numPr>
        <w:ilvl w:val="3"/>
        <w:numId w:val="17"/>
      </w:numPr>
    </w:pPr>
    <w:rPr>
      <w:sz w:val="17"/>
    </w:rPr>
  </w:style>
  <w:style w:type="paragraph" w:customStyle="1" w:styleId="NoteNormalindent">
    <w:name w:val="Note Normal indent"/>
    <w:basedOn w:val="NoteNormal"/>
    <w:uiPriority w:val="9"/>
    <w:rsid w:val="005D0E36"/>
    <w:pPr>
      <w:ind w:left="792"/>
    </w:pPr>
  </w:style>
  <w:style w:type="paragraph" w:styleId="Caption">
    <w:name w:val="caption"/>
    <w:basedOn w:val="Normal"/>
    <w:next w:val="Normal"/>
    <w:uiPriority w:val="35"/>
    <w:rsid w:val="005D0E36"/>
    <w:pPr>
      <w:spacing w:before="0" w:after="200" w:line="240" w:lineRule="auto"/>
    </w:pPr>
    <w:rPr>
      <w:b/>
      <w:bCs/>
      <w:color w:val="4A442A" w:themeColor="background2" w:themeShade="40"/>
      <w:sz w:val="18"/>
      <w:szCs w:val="18"/>
    </w:rPr>
  </w:style>
  <w:style w:type="character" w:styleId="PlaceholderText">
    <w:name w:val="Placeholder Text"/>
    <w:basedOn w:val="DefaultParagraphFont"/>
    <w:uiPriority w:val="99"/>
    <w:semiHidden/>
    <w:rsid w:val="005D0E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Other\VGPB%20landsca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12B3C-D804-43AB-B12C-FD6F580DD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VGPB landscape.dotx</Template>
  <TotalTime>1</TotalTime>
  <Pages>11</Pages>
  <Words>3986</Words>
  <Characters>22724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26657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Deidre Steain</dc:creator>
  <cp:lastModifiedBy>Vanessa Coles (DTF)</cp:lastModifiedBy>
  <cp:revision>2</cp:revision>
  <cp:lastPrinted>2016-09-15T02:11:00Z</cp:lastPrinted>
  <dcterms:created xsi:type="dcterms:W3CDTF">2017-09-12T05:43:00Z</dcterms:created>
  <dcterms:modified xsi:type="dcterms:W3CDTF">2017-09-12T05:43:00Z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c6d27caa-cc7e-48c8-94fc-835ecd10064c</vt:lpwstr>
  </property>
  <property fmtid="{D5CDD505-2E9C-101B-9397-08002B2CF9AE}" pid="3" name="PSPFClassification">
    <vt:lpwstr>Do Not Mark</vt:lpwstr>
  </property>
</Properties>
</file>