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DCEE" w14:textId="2F5CFED3" w:rsidR="00CB4E50" w:rsidRPr="00AD1790" w:rsidRDefault="001F42D6" w:rsidP="00AD1790">
      <w:pPr>
        <w:pStyle w:val="Heading1"/>
        <w:rPr>
          <w:b/>
          <w:color w:val="7030A0"/>
          <w:sz w:val="36"/>
          <w:szCs w:val="36"/>
        </w:rPr>
      </w:pPr>
      <w:r w:rsidRPr="00AD1790">
        <w:rPr>
          <w:b/>
          <w:color w:val="7030A0"/>
          <w:sz w:val="36"/>
          <w:szCs w:val="36"/>
        </w:rPr>
        <w:t xml:space="preserve">Insurance </w:t>
      </w:r>
      <w:r w:rsidR="00AD1790" w:rsidRPr="00AD1790">
        <w:rPr>
          <w:b/>
          <w:color w:val="7030A0"/>
          <w:sz w:val="36"/>
          <w:szCs w:val="36"/>
        </w:rPr>
        <w:t>risk assessment tool</w:t>
      </w:r>
    </w:p>
    <w:p w14:paraId="6043BB76" w14:textId="77777777" w:rsidR="007807F6" w:rsidRDefault="007807F6" w:rsidP="007807F6">
      <w:r>
        <w:t>The</w:t>
      </w:r>
      <w:r w:rsidRPr="00FA5F9C">
        <w:t xml:space="preserve"> Insurance risk assessment tool</w:t>
      </w:r>
      <w:r>
        <w:t xml:space="preserve"> assists in determining the level of risk for the three types of insurance:</w:t>
      </w:r>
    </w:p>
    <w:p w14:paraId="217B8426" w14:textId="77777777" w:rsidR="007807F6" w:rsidRDefault="007807F6" w:rsidP="007807F6">
      <w:pPr>
        <w:pStyle w:val="ListParagraph"/>
        <w:numPr>
          <w:ilvl w:val="0"/>
          <w:numId w:val="25"/>
        </w:numPr>
      </w:pPr>
      <w:r>
        <w:t>Public liability – cover selected per occurrence</w:t>
      </w:r>
    </w:p>
    <w:p w14:paraId="1A8956F6" w14:textId="77777777" w:rsidR="007807F6" w:rsidRDefault="007807F6" w:rsidP="007807F6">
      <w:pPr>
        <w:pStyle w:val="ListParagraph"/>
        <w:numPr>
          <w:ilvl w:val="0"/>
          <w:numId w:val="25"/>
        </w:numPr>
      </w:pPr>
      <w:r>
        <w:t>Product liability – cover selected per occurrence and in annual aggregate</w:t>
      </w:r>
    </w:p>
    <w:p w14:paraId="21D9D4D7" w14:textId="53B6552E" w:rsidR="007807F6" w:rsidRDefault="007807F6" w:rsidP="007807F6">
      <w:pPr>
        <w:pStyle w:val="ListParagraph"/>
        <w:numPr>
          <w:ilvl w:val="0"/>
          <w:numId w:val="25"/>
        </w:numPr>
      </w:pPr>
      <w:r>
        <w:t>Professional Indemnity – cover selected per occurrence and in annual aggregate</w:t>
      </w:r>
    </w:p>
    <w:p w14:paraId="14EEA027" w14:textId="77777777" w:rsidR="007807F6" w:rsidRDefault="007807F6" w:rsidP="007807F6"/>
    <w:tbl>
      <w:tblPr>
        <w:tblStyle w:val="TableGrid"/>
        <w:tblW w:w="0" w:type="auto"/>
        <w:tblLook w:val="04A0" w:firstRow="1" w:lastRow="0" w:firstColumn="1" w:lastColumn="0" w:noHBand="0" w:noVBand="1"/>
      </w:tblPr>
      <w:tblGrid>
        <w:gridCol w:w="2406"/>
        <w:gridCol w:w="2426"/>
        <w:gridCol w:w="2428"/>
        <w:gridCol w:w="2418"/>
      </w:tblGrid>
      <w:tr w:rsidR="001F42D6" w14:paraId="443F8C9B" w14:textId="77777777" w:rsidTr="007807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6" w:type="dxa"/>
            <w:vMerge w:val="restart"/>
            <w:tcBorders>
              <w:bottom w:val="nil"/>
            </w:tcBorders>
          </w:tcPr>
          <w:p w14:paraId="25C276FD" w14:textId="77777777" w:rsidR="001F42D6" w:rsidRPr="001F42D6" w:rsidRDefault="001F42D6" w:rsidP="001F42D6">
            <w:pPr>
              <w:pStyle w:val="TableHeader"/>
              <w:rPr>
                <w:color w:val="auto"/>
              </w:rPr>
            </w:pPr>
            <w:r w:rsidRPr="001F42D6">
              <w:rPr>
                <w:color w:val="auto"/>
              </w:rPr>
              <w:t>Insurance cover</w:t>
            </w:r>
          </w:p>
        </w:tc>
        <w:tc>
          <w:tcPr>
            <w:tcW w:w="7272" w:type="dxa"/>
            <w:gridSpan w:val="3"/>
            <w:tcBorders>
              <w:bottom w:val="single" w:sz="6" w:space="0" w:color="FFFFFF" w:themeColor="background1"/>
            </w:tcBorders>
          </w:tcPr>
          <w:p w14:paraId="305B93BD" w14:textId="77777777" w:rsidR="001F42D6" w:rsidRP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rsidRPr="001F42D6">
              <w:t>Risk rating</w:t>
            </w:r>
          </w:p>
        </w:tc>
      </w:tr>
      <w:tr w:rsidR="001F42D6" w14:paraId="78C9771C" w14:textId="77777777" w:rsidTr="007807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6" w:type="dxa"/>
            <w:vMerge/>
            <w:tcBorders>
              <w:top w:val="nil"/>
            </w:tcBorders>
          </w:tcPr>
          <w:p w14:paraId="5501F312" w14:textId="77777777" w:rsidR="001F42D6" w:rsidRPr="001F42D6" w:rsidRDefault="001F42D6" w:rsidP="001F42D6">
            <w:pPr>
              <w:pStyle w:val="TableHeader"/>
              <w:rPr>
                <w:color w:val="auto"/>
              </w:rPr>
            </w:pPr>
          </w:p>
        </w:tc>
        <w:tc>
          <w:tcPr>
            <w:tcW w:w="2426" w:type="dxa"/>
            <w:tcBorders>
              <w:top w:val="single" w:sz="6" w:space="0" w:color="FFFFFF" w:themeColor="background1"/>
            </w:tcBorders>
          </w:tcPr>
          <w:p w14:paraId="46D6CE6F" w14:textId="77777777" w:rsid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t>Low</w:t>
            </w:r>
          </w:p>
        </w:tc>
        <w:tc>
          <w:tcPr>
            <w:tcW w:w="2428" w:type="dxa"/>
            <w:tcBorders>
              <w:top w:val="single" w:sz="6" w:space="0" w:color="FFFFFF" w:themeColor="background1"/>
            </w:tcBorders>
          </w:tcPr>
          <w:p w14:paraId="39BA4A72" w14:textId="77777777" w:rsid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t>Medium</w:t>
            </w:r>
          </w:p>
        </w:tc>
        <w:tc>
          <w:tcPr>
            <w:tcW w:w="2418" w:type="dxa"/>
            <w:tcBorders>
              <w:top w:val="single" w:sz="6" w:space="0" w:color="FFFFFF" w:themeColor="background1"/>
            </w:tcBorders>
          </w:tcPr>
          <w:p w14:paraId="3AC6D440" w14:textId="77777777" w:rsidR="001F42D6" w:rsidRDefault="001F42D6" w:rsidP="001F42D6">
            <w:pPr>
              <w:pStyle w:val="TableHeader"/>
              <w:jc w:val="center"/>
              <w:cnfStyle w:val="100000000000" w:firstRow="1" w:lastRow="0" w:firstColumn="0" w:lastColumn="0" w:oddVBand="0" w:evenVBand="0" w:oddHBand="0" w:evenHBand="0" w:firstRowFirstColumn="0" w:firstRowLastColumn="0" w:lastRowFirstColumn="0" w:lastRowLastColumn="0"/>
            </w:pPr>
            <w:r>
              <w:t>High</w:t>
            </w:r>
          </w:p>
        </w:tc>
      </w:tr>
      <w:tr w:rsidR="001F42D6" w:rsidRPr="001F42D6" w14:paraId="7602B07D" w14:textId="77777777" w:rsidTr="007807F6">
        <w:tc>
          <w:tcPr>
            <w:cnfStyle w:val="001000000000" w:firstRow="0" w:lastRow="0" w:firstColumn="1" w:lastColumn="0" w:oddVBand="0" w:evenVBand="0" w:oddHBand="0" w:evenHBand="0" w:firstRowFirstColumn="0" w:firstRowLastColumn="0" w:lastRowFirstColumn="0" w:lastRowLastColumn="0"/>
            <w:tcW w:w="2406" w:type="dxa"/>
          </w:tcPr>
          <w:p w14:paraId="63EB6189" w14:textId="77777777" w:rsidR="001F42D6" w:rsidRPr="001F42D6" w:rsidRDefault="001F42D6" w:rsidP="001F42D6">
            <w:pPr>
              <w:pStyle w:val="TableText"/>
              <w:rPr>
                <w:color w:val="auto"/>
                <w:sz w:val="18"/>
              </w:rPr>
            </w:pPr>
            <w:r w:rsidRPr="001F42D6">
              <w:rPr>
                <w:color w:val="auto"/>
                <w:sz w:val="18"/>
              </w:rPr>
              <w:t>Credibility of the supplier in the conduct of the procurement activity</w:t>
            </w:r>
          </w:p>
          <w:p w14:paraId="5809A20E" w14:textId="77777777" w:rsidR="001F42D6" w:rsidRPr="001F42D6" w:rsidRDefault="001F42D6" w:rsidP="001F42D6">
            <w:pPr>
              <w:pStyle w:val="TableText"/>
              <w:rPr>
                <w:color w:val="auto"/>
                <w:sz w:val="18"/>
              </w:rPr>
            </w:pPr>
            <w:r w:rsidRPr="001F42D6">
              <w:rPr>
                <w:color w:val="auto"/>
                <w:sz w:val="18"/>
              </w:rPr>
              <w:t>Relevant insurance cover:</w:t>
            </w:r>
          </w:p>
          <w:p w14:paraId="049AD266" w14:textId="384F427C" w:rsidR="00AD1790" w:rsidRPr="007807F6" w:rsidRDefault="001F42D6" w:rsidP="00AD1790">
            <w:pPr>
              <w:pStyle w:val="TableBullet"/>
              <w:rPr>
                <w:color w:val="auto"/>
                <w:sz w:val="18"/>
              </w:rPr>
            </w:pPr>
            <w:r w:rsidRPr="001F42D6">
              <w:rPr>
                <w:color w:val="auto"/>
                <w:sz w:val="18"/>
              </w:rPr>
              <w:t>professional indemnity</w:t>
            </w:r>
          </w:p>
        </w:tc>
        <w:tc>
          <w:tcPr>
            <w:tcW w:w="2426" w:type="dxa"/>
          </w:tcPr>
          <w:p w14:paraId="42864854"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complexity of the procurement activity is assessed as transactional.</w:t>
            </w:r>
          </w:p>
          <w:p w14:paraId="34919DFA"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supply arrangement involves common ‘off the shelf’ products or routine services that do not impact on organisational decision making.</w:t>
            </w:r>
          </w:p>
          <w:p w14:paraId="51664308"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supplier has a track record in the market, is familiar with government procurement requirements and is fully compliant with relevant regulatory requirements.</w:t>
            </w:r>
          </w:p>
        </w:tc>
        <w:tc>
          <w:tcPr>
            <w:tcW w:w="2428" w:type="dxa"/>
          </w:tcPr>
          <w:p w14:paraId="5B26611F"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complexity of the procurement activity is assessed at the upper level of transactional but is more likely to have been assessed as leveraged.</w:t>
            </w:r>
          </w:p>
          <w:p w14:paraId="6A68CC95"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supply arrangement involves potential interface with clients of the department or community.</w:t>
            </w:r>
          </w:p>
          <w:p w14:paraId="517D66AA"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supplier has a track record in the market and is predominantly compliant with all related regulatory obligations.</w:t>
            </w:r>
          </w:p>
        </w:tc>
        <w:tc>
          <w:tcPr>
            <w:tcW w:w="2418" w:type="dxa"/>
          </w:tcPr>
          <w:p w14:paraId="52D86F3C"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complexity of the procurement activity is assessed as focused or strategic.</w:t>
            </w:r>
          </w:p>
          <w:p w14:paraId="543024B7"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supply arrangement has a direct impact on organisational service delivery.</w:t>
            </w:r>
          </w:p>
          <w:p w14:paraId="55FD6B1A"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Service failure would generate significant negative media coverage for government or pose a risk to the public.</w:t>
            </w:r>
          </w:p>
        </w:tc>
      </w:tr>
      <w:tr w:rsidR="001F42D6" w:rsidRPr="001F42D6" w14:paraId="7AB93BBD" w14:textId="77777777" w:rsidTr="00780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6039A8C3" w14:textId="77777777" w:rsidR="001F42D6" w:rsidRPr="001F42D6" w:rsidRDefault="001F42D6" w:rsidP="001F42D6">
            <w:pPr>
              <w:pStyle w:val="TableText"/>
              <w:rPr>
                <w:color w:val="auto"/>
                <w:sz w:val="18"/>
              </w:rPr>
            </w:pPr>
            <w:r w:rsidRPr="001F42D6">
              <w:rPr>
                <w:color w:val="auto"/>
                <w:sz w:val="18"/>
              </w:rPr>
              <w:t>Occupational health and safety issues (OHS)</w:t>
            </w:r>
          </w:p>
          <w:p w14:paraId="1F0C3CB3" w14:textId="77777777" w:rsidR="001F42D6" w:rsidRPr="001F42D6" w:rsidRDefault="001F42D6" w:rsidP="001F42D6">
            <w:pPr>
              <w:pStyle w:val="TableText"/>
              <w:rPr>
                <w:color w:val="auto"/>
                <w:sz w:val="18"/>
              </w:rPr>
            </w:pPr>
            <w:r w:rsidRPr="001F42D6">
              <w:rPr>
                <w:color w:val="auto"/>
                <w:sz w:val="18"/>
              </w:rPr>
              <w:t>Relevant insurance cover:</w:t>
            </w:r>
          </w:p>
          <w:p w14:paraId="33815C2B" w14:textId="77777777" w:rsidR="001F42D6" w:rsidRPr="001F42D6" w:rsidRDefault="001F42D6" w:rsidP="001F42D6">
            <w:pPr>
              <w:pStyle w:val="TableBullet"/>
              <w:rPr>
                <w:color w:val="auto"/>
                <w:sz w:val="18"/>
              </w:rPr>
            </w:pPr>
            <w:r w:rsidRPr="001F42D6">
              <w:rPr>
                <w:color w:val="auto"/>
                <w:sz w:val="18"/>
              </w:rPr>
              <w:t>public liability (impact on persons)</w:t>
            </w:r>
          </w:p>
          <w:p w14:paraId="04B9BFDB" w14:textId="4CE8160A" w:rsidR="00AD1790" w:rsidRPr="007807F6" w:rsidRDefault="001F42D6" w:rsidP="007807F6">
            <w:pPr>
              <w:pStyle w:val="TableText"/>
              <w:rPr>
                <w:sz w:val="18"/>
              </w:rPr>
            </w:pPr>
            <w:r w:rsidRPr="001F42D6">
              <w:rPr>
                <w:color w:val="auto"/>
                <w:sz w:val="18"/>
              </w:rPr>
              <w:t>Product liability (impact on use and application)</w:t>
            </w:r>
          </w:p>
        </w:tc>
        <w:tc>
          <w:tcPr>
            <w:tcW w:w="2426" w:type="dxa"/>
          </w:tcPr>
          <w:p w14:paraId="6501ED0D"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Low possibility of harm or danger to persons.</w:t>
            </w:r>
          </w:p>
          <w:p w14:paraId="15F00A48"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supplier’s interface with persons is overseen by an officer in the organisation with responsibility for, or knowledge of, the risks.</w:t>
            </w:r>
          </w:p>
          <w:p w14:paraId="34C7179E"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 xml:space="preserve">There are no special skills required to wear the special clothing or use the equipment. </w:t>
            </w:r>
          </w:p>
        </w:tc>
        <w:tc>
          <w:tcPr>
            <w:tcW w:w="2428" w:type="dxa"/>
          </w:tcPr>
          <w:p w14:paraId="54E1C95C"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There is some possibility of harm or danger to persons.</w:t>
            </w:r>
          </w:p>
          <w:p w14:paraId="74F6BAC4"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supplier’s interface with persons has participation by an officer in the organisation.</w:t>
            </w:r>
          </w:p>
          <w:p w14:paraId="3867E412"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 has addressed all OHS requirements required by the regulation and the courts</w:t>
            </w:r>
            <w:r w:rsidR="00CD70C4">
              <w:rPr>
                <w:sz w:val="18"/>
              </w:rPr>
              <w:t xml:space="preserve">. </w:t>
            </w:r>
            <w:r w:rsidRPr="001F42D6">
              <w:rPr>
                <w:sz w:val="18"/>
              </w:rPr>
              <w:t>There are no outstanding breaches of legislation or regulations.</w:t>
            </w:r>
          </w:p>
          <w:p w14:paraId="04A54B8D"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supply is of standard equipment however, there are particular requirements/processes in using the equipment.</w:t>
            </w:r>
          </w:p>
          <w:p w14:paraId="54501EDD"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clothing supplied has specific limitations in the area for which it can be used.</w:t>
            </w:r>
          </w:p>
        </w:tc>
        <w:tc>
          <w:tcPr>
            <w:tcW w:w="2418" w:type="dxa"/>
          </w:tcPr>
          <w:p w14:paraId="20BCD86F"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There is a high possibility of harm or danger to persons.</w:t>
            </w:r>
          </w:p>
          <w:p w14:paraId="07C7CD21"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supplier’s interface with persons is not overseen by an officer in the organisation.</w:t>
            </w:r>
          </w:p>
          <w:p w14:paraId="17152450"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 xml:space="preserve">The supplier is to interface with clients that have physical and/ or behavioural problems. </w:t>
            </w:r>
          </w:p>
          <w:p w14:paraId="211EC2D1"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Supplier has a high number of OHS breaches and numerous outstanding remedial action requirements imposed by the courts.</w:t>
            </w:r>
          </w:p>
          <w:p w14:paraId="342496C8"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protective clothing and specialist equipment is to be used in high danger situations</w:t>
            </w:r>
            <w:r w:rsidR="00CD70C4">
              <w:rPr>
                <w:sz w:val="18"/>
              </w:rPr>
              <w:t xml:space="preserve">. </w:t>
            </w:r>
            <w:r w:rsidRPr="001F42D6">
              <w:rPr>
                <w:sz w:val="18"/>
              </w:rPr>
              <w:t>The clothing/equipment is non</w:t>
            </w:r>
            <w:r w:rsidR="0029461D">
              <w:rPr>
                <w:sz w:val="18"/>
              </w:rPr>
              <w:noBreakHyphen/>
            </w:r>
            <w:r w:rsidRPr="001F42D6">
              <w:rPr>
                <w:sz w:val="18"/>
              </w:rPr>
              <w:t>standard and requires extensive training to use/apply.</w:t>
            </w:r>
          </w:p>
        </w:tc>
      </w:tr>
      <w:tr w:rsidR="001F42D6" w:rsidRPr="001F42D6" w14:paraId="7438A673" w14:textId="77777777" w:rsidTr="007807F6">
        <w:tc>
          <w:tcPr>
            <w:cnfStyle w:val="001000000000" w:firstRow="0" w:lastRow="0" w:firstColumn="1" w:lastColumn="0" w:oddVBand="0" w:evenVBand="0" w:oddHBand="0" w:evenHBand="0" w:firstRowFirstColumn="0" w:firstRowLastColumn="0" w:lastRowFirstColumn="0" w:lastRowLastColumn="0"/>
            <w:tcW w:w="2406" w:type="dxa"/>
          </w:tcPr>
          <w:p w14:paraId="2F35ADA2" w14:textId="77777777" w:rsidR="001F42D6" w:rsidRPr="001F42D6" w:rsidRDefault="001F42D6" w:rsidP="001F42D6">
            <w:pPr>
              <w:pStyle w:val="TableText"/>
              <w:rPr>
                <w:color w:val="auto"/>
                <w:sz w:val="18"/>
              </w:rPr>
            </w:pPr>
            <w:r w:rsidRPr="001F42D6">
              <w:rPr>
                <w:color w:val="auto"/>
                <w:sz w:val="18"/>
              </w:rPr>
              <w:lastRenderedPageBreak/>
              <w:t>Product complexity</w:t>
            </w:r>
          </w:p>
          <w:p w14:paraId="3952EFF3" w14:textId="77777777" w:rsidR="001F42D6" w:rsidRPr="001F42D6" w:rsidRDefault="001F42D6" w:rsidP="001F42D6">
            <w:pPr>
              <w:pStyle w:val="TableText"/>
              <w:rPr>
                <w:color w:val="auto"/>
                <w:sz w:val="18"/>
              </w:rPr>
            </w:pPr>
            <w:r w:rsidRPr="001F42D6">
              <w:rPr>
                <w:color w:val="auto"/>
                <w:sz w:val="18"/>
              </w:rPr>
              <w:t>Relevant insurance cover:</w:t>
            </w:r>
          </w:p>
          <w:p w14:paraId="3DCC1DC9" w14:textId="60DEDA53" w:rsidR="00AD1790" w:rsidRPr="007807F6" w:rsidRDefault="001F42D6" w:rsidP="00AD1790">
            <w:pPr>
              <w:pStyle w:val="TableBullet"/>
              <w:rPr>
                <w:color w:val="auto"/>
                <w:sz w:val="18"/>
              </w:rPr>
            </w:pPr>
            <w:r w:rsidRPr="001F42D6">
              <w:rPr>
                <w:color w:val="auto"/>
                <w:sz w:val="18"/>
              </w:rPr>
              <w:t>product liability (impact on performance)</w:t>
            </w:r>
          </w:p>
        </w:tc>
        <w:tc>
          <w:tcPr>
            <w:tcW w:w="2426" w:type="dxa"/>
          </w:tcPr>
          <w:p w14:paraId="5A9F800F"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Supply of standard ‘off</w:t>
            </w:r>
            <w:r w:rsidR="0029461D">
              <w:rPr>
                <w:sz w:val="18"/>
              </w:rPr>
              <w:noBreakHyphen/>
            </w:r>
            <w:r w:rsidRPr="001F42D6">
              <w:rPr>
                <w:sz w:val="18"/>
              </w:rPr>
              <w:t>the</w:t>
            </w:r>
            <w:r w:rsidR="0029461D">
              <w:rPr>
                <w:sz w:val="18"/>
              </w:rPr>
              <w:noBreakHyphen/>
            </w:r>
            <w:r w:rsidRPr="001F42D6">
              <w:rPr>
                <w:sz w:val="18"/>
              </w:rPr>
              <w:t>shelf’ items of clothing or equipment</w:t>
            </w:r>
            <w:r w:rsidR="00CD70C4">
              <w:rPr>
                <w:sz w:val="18"/>
              </w:rPr>
              <w:t xml:space="preserve">. </w:t>
            </w:r>
            <w:r w:rsidRPr="001F42D6">
              <w:rPr>
                <w:sz w:val="18"/>
              </w:rPr>
              <w:t>Items are common in the market and have a track record of performance in relation to their application/use</w:t>
            </w:r>
            <w:r w:rsidR="00CD70C4">
              <w:rPr>
                <w:sz w:val="18"/>
              </w:rPr>
              <w:t xml:space="preserve">. </w:t>
            </w:r>
            <w:r w:rsidRPr="001F42D6">
              <w:rPr>
                <w:sz w:val="18"/>
              </w:rPr>
              <w:t>Low, if any, reports of recall</w:t>
            </w:r>
            <w:r w:rsidR="00CD70C4">
              <w:rPr>
                <w:sz w:val="18"/>
              </w:rPr>
              <w:t xml:space="preserve">. </w:t>
            </w:r>
            <w:r w:rsidRPr="001F42D6">
              <w:rPr>
                <w:sz w:val="18"/>
              </w:rPr>
              <w:t>Extensive warrantees/guarantees and after sales service available.</w:t>
            </w:r>
          </w:p>
        </w:tc>
        <w:tc>
          <w:tcPr>
            <w:tcW w:w="2428" w:type="dxa"/>
          </w:tcPr>
          <w:p w14:paraId="3400A9B3"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Supply of established, but not common, items of clothing or equipment</w:t>
            </w:r>
            <w:r w:rsidR="00CD70C4">
              <w:rPr>
                <w:sz w:val="18"/>
              </w:rPr>
              <w:t xml:space="preserve">. </w:t>
            </w:r>
            <w:r w:rsidRPr="001F42D6">
              <w:rPr>
                <w:sz w:val="18"/>
              </w:rPr>
              <w:t>There may be some degree of difficulty in obtaining immediate replacement or repair if failure to perform</w:t>
            </w:r>
            <w:r w:rsidR="00CD70C4">
              <w:rPr>
                <w:sz w:val="18"/>
              </w:rPr>
              <w:t xml:space="preserve">. </w:t>
            </w:r>
            <w:r w:rsidRPr="001F42D6">
              <w:rPr>
                <w:sz w:val="18"/>
              </w:rPr>
              <w:t>Failure will not have a significant impact on operation of the organisation</w:t>
            </w:r>
            <w:r w:rsidR="00CD70C4">
              <w:rPr>
                <w:sz w:val="18"/>
              </w:rPr>
              <w:t xml:space="preserve">. </w:t>
            </w:r>
            <w:r w:rsidRPr="001F42D6">
              <w:rPr>
                <w:sz w:val="18"/>
              </w:rPr>
              <w:t>Product service is somewhat specialised.</w:t>
            </w:r>
          </w:p>
        </w:tc>
        <w:tc>
          <w:tcPr>
            <w:tcW w:w="2418" w:type="dxa"/>
          </w:tcPr>
          <w:p w14:paraId="187B013C"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New highly specialised product</w:t>
            </w:r>
            <w:r w:rsidR="00CD70C4">
              <w:rPr>
                <w:sz w:val="18"/>
              </w:rPr>
              <w:t xml:space="preserve">. </w:t>
            </w:r>
            <w:r w:rsidRPr="001F42D6">
              <w:rPr>
                <w:sz w:val="18"/>
              </w:rPr>
              <w:t>Failure would have significant impact on the operation of the organisation</w:t>
            </w:r>
            <w:r w:rsidR="00CD70C4">
              <w:rPr>
                <w:sz w:val="18"/>
              </w:rPr>
              <w:t xml:space="preserve">. </w:t>
            </w:r>
          </w:p>
          <w:p w14:paraId="41EB2008"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 xml:space="preserve">There is limited supply of specialists in the field should system fail. </w:t>
            </w:r>
          </w:p>
        </w:tc>
      </w:tr>
      <w:tr w:rsidR="001F42D6" w:rsidRPr="001F42D6" w14:paraId="460D1259" w14:textId="77777777" w:rsidTr="00780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3C5677EC" w14:textId="77777777" w:rsidR="001F42D6" w:rsidRPr="001F42D6" w:rsidRDefault="001F42D6" w:rsidP="001F42D6">
            <w:pPr>
              <w:pStyle w:val="TableText"/>
              <w:rPr>
                <w:color w:val="auto"/>
                <w:sz w:val="18"/>
              </w:rPr>
            </w:pPr>
            <w:r w:rsidRPr="001F42D6">
              <w:rPr>
                <w:color w:val="auto"/>
                <w:sz w:val="18"/>
              </w:rPr>
              <w:t>Stakeholder exposure</w:t>
            </w:r>
          </w:p>
          <w:p w14:paraId="5C43732C" w14:textId="77777777" w:rsidR="001F42D6" w:rsidRPr="001F42D6" w:rsidRDefault="001F42D6" w:rsidP="001F42D6">
            <w:pPr>
              <w:pStyle w:val="TableText"/>
              <w:rPr>
                <w:color w:val="auto"/>
                <w:sz w:val="18"/>
              </w:rPr>
            </w:pPr>
            <w:r w:rsidRPr="001F42D6">
              <w:rPr>
                <w:color w:val="auto"/>
                <w:sz w:val="18"/>
              </w:rPr>
              <w:t>Relevant insurance cover:</w:t>
            </w:r>
          </w:p>
          <w:p w14:paraId="22A6420B" w14:textId="77777777" w:rsidR="001F42D6" w:rsidRPr="001F42D6" w:rsidRDefault="001F42D6" w:rsidP="001F42D6">
            <w:pPr>
              <w:pStyle w:val="TableBullet"/>
              <w:rPr>
                <w:color w:val="auto"/>
                <w:sz w:val="18"/>
              </w:rPr>
            </w:pPr>
            <w:r w:rsidRPr="001F42D6">
              <w:rPr>
                <w:color w:val="auto"/>
                <w:sz w:val="18"/>
              </w:rPr>
              <w:t>professional indemnity</w:t>
            </w:r>
          </w:p>
        </w:tc>
        <w:tc>
          <w:tcPr>
            <w:tcW w:w="2426" w:type="dxa"/>
          </w:tcPr>
          <w:p w14:paraId="5F40586A"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Contract is managed at the business unit level and is not required to be reported or signed off at senior management level</w:t>
            </w:r>
            <w:r w:rsidR="00CD70C4">
              <w:rPr>
                <w:sz w:val="18"/>
              </w:rPr>
              <w:t xml:space="preserve">. </w:t>
            </w:r>
            <w:r w:rsidRPr="001F42D6">
              <w:rPr>
                <w:sz w:val="18"/>
              </w:rPr>
              <w:t>There is no interface with clients of the organisation or general public.</w:t>
            </w:r>
          </w:p>
        </w:tc>
        <w:tc>
          <w:tcPr>
            <w:tcW w:w="2428" w:type="dxa"/>
          </w:tcPr>
          <w:p w14:paraId="428CD218"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product, but more likely the service, has some impact on the decision making within the organisation</w:t>
            </w:r>
            <w:r w:rsidR="00CD70C4">
              <w:rPr>
                <w:sz w:val="18"/>
              </w:rPr>
              <w:t xml:space="preserve">. </w:t>
            </w:r>
            <w:r w:rsidRPr="001F42D6">
              <w:rPr>
                <w:sz w:val="18"/>
              </w:rPr>
              <w:t xml:space="preserve">Any failure could have repercussions on performance of the department. </w:t>
            </w:r>
          </w:p>
        </w:tc>
        <w:tc>
          <w:tcPr>
            <w:tcW w:w="2418" w:type="dxa"/>
          </w:tcPr>
          <w:p w14:paraId="2F64B8AA"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product/service is critical to decision making by senior management</w:t>
            </w:r>
            <w:r w:rsidR="00CD70C4">
              <w:rPr>
                <w:sz w:val="18"/>
              </w:rPr>
              <w:t xml:space="preserve">. </w:t>
            </w:r>
            <w:r w:rsidRPr="001F42D6">
              <w:rPr>
                <w:sz w:val="18"/>
              </w:rPr>
              <w:t>The advice is relied on for making high level/critical investment decisions by government</w:t>
            </w:r>
            <w:r w:rsidR="00CD70C4">
              <w:rPr>
                <w:sz w:val="18"/>
              </w:rPr>
              <w:t xml:space="preserve">. </w:t>
            </w:r>
            <w:r w:rsidRPr="001F42D6">
              <w:rPr>
                <w:sz w:val="18"/>
              </w:rPr>
              <w:t>Failure at the government level has significant flow</w:t>
            </w:r>
            <w:r w:rsidR="0029461D">
              <w:rPr>
                <w:sz w:val="18"/>
              </w:rPr>
              <w:noBreakHyphen/>
            </w:r>
            <w:r w:rsidRPr="001F42D6">
              <w:rPr>
                <w:sz w:val="18"/>
              </w:rPr>
              <w:t>on effect to the business community and the general public.</w:t>
            </w:r>
          </w:p>
        </w:tc>
      </w:tr>
      <w:tr w:rsidR="001F42D6" w:rsidRPr="001F42D6" w14:paraId="275934BE" w14:textId="77777777" w:rsidTr="007807F6">
        <w:tc>
          <w:tcPr>
            <w:cnfStyle w:val="001000000000" w:firstRow="0" w:lastRow="0" w:firstColumn="1" w:lastColumn="0" w:oddVBand="0" w:evenVBand="0" w:oddHBand="0" w:evenHBand="0" w:firstRowFirstColumn="0" w:firstRowLastColumn="0" w:lastRowFirstColumn="0" w:lastRowLastColumn="0"/>
            <w:tcW w:w="2406" w:type="dxa"/>
          </w:tcPr>
          <w:p w14:paraId="7E85A9D5" w14:textId="77777777" w:rsidR="001F42D6" w:rsidRPr="001F42D6" w:rsidRDefault="001F42D6" w:rsidP="001F42D6">
            <w:pPr>
              <w:pStyle w:val="TableText"/>
              <w:rPr>
                <w:color w:val="auto"/>
                <w:sz w:val="18"/>
              </w:rPr>
            </w:pPr>
            <w:r w:rsidRPr="001F42D6">
              <w:rPr>
                <w:color w:val="auto"/>
                <w:sz w:val="18"/>
              </w:rPr>
              <w:t>Service complexity</w:t>
            </w:r>
          </w:p>
          <w:p w14:paraId="68D157D9" w14:textId="77777777" w:rsidR="001F42D6" w:rsidRPr="001F42D6" w:rsidRDefault="001F42D6" w:rsidP="001F42D6">
            <w:pPr>
              <w:pStyle w:val="TableText"/>
              <w:rPr>
                <w:color w:val="auto"/>
                <w:sz w:val="18"/>
              </w:rPr>
            </w:pPr>
            <w:r w:rsidRPr="001F42D6">
              <w:rPr>
                <w:color w:val="auto"/>
                <w:sz w:val="18"/>
              </w:rPr>
              <w:t>Relevant insurance cover:</w:t>
            </w:r>
          </w:p>
          <w:p w14:paraId="42240942" w14:textId="77777777" w:rsidR="001F42D6" w:rsidRPr="001F42D6" w:rsidRDefault="001F42D6" w:rsidP="001F42D6">
            <w:pPr>
              <w:pStyle w:val="TableBullet"/>
              <w:rPr>
                <w:color w:val="auto"/>
                <w:sz w:val="18"/>
              </w:rPr>
            </w:pPr>
            <w:r w:rsidRPr="001F42D6">
              <w:rPr>
                <w:color w:val="auto"/>
                <w:sz w:val="18"/>
              </w:rPr>
              <w:t>professional indemnity</w:t>
            </w:r>
          </w:p>
        </w:tc>
        <w:tc>
          <w:tcPr>
            <w:tcW w:w="2426" w:type="dxa"/>
          </w:tcPr>
          <w:p w14:paraId="7B83F241"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Routine common service available from multiple players in the market place</w:t>
            </w:r>
            <w:r w:rsidR="00CD70C4">
              <w:rPr>
                <w:sz w:val="18"/>
              </w:rPr>
              <w:t xml:space="preserve">. </w:t>
            </w:r>
            <w:r w:rsidRPr="001F42D6">
              <w:rPr>
                <w:sz w:val="18"/>
              </w:rPr>
              <w:t>The service has little if any bearing on the decision making within the organisation</w:t>
            </w:r>
            <w:r w:rsidR="00CD70C4">
              <w:rPr>
                <w:sz w:val="18"/>
              </w:rPr>
              <w:t xml:space="preserve">. </w:t>
            </w:r>
            <w:r w:rsidRPr="001F42D6">
              <w:rPr>
                <w:sz w:val="18"/>
              </w:rPr>
              <w:t>The level of complexity is assessed as transactional.</w:t>
            </w:r>
          </w:p>
        </w:tc>
        <w:tc>
          <w:tcPr>
            <w:tcW w:w="2428" w:type="dxa"/>
          </w:tcPr>
          <w:p w14:paraId="0FF19A2F"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The level of complexity is assessed as leveraged</w:t>
            </w:r>
            <w:r w:rsidR="00CD70C4">
              <w:rPr>
                <w:sz w:val="18"/>
              </w:rPr>
              <w:t xml:space="preserve">. </w:t>
            </w:r>
            <w:r w:rsidRPr="001F42D6">
              <w:rPr>
                <w:sz w:val="18"/>
              </w:rPr>
              <w:t>The service/information provided has impact on the operation of the organisation but is not related to strategic decision making or investment. The service is generally available from the market but the level of expertise is higher than required for routine common services.</w:t>
            </w:r>
          </w:p>
        </w:tc>
        <w:tc>
          <w:tcPr>
            <w:tcW w:w="2418" w:type="dxa"/>
          </w:tcPr>
          <w:p w14:paraId="42B4A636"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New service with limited availability and support in the market</w:t>
            </w:r>
            <w:r w:rsidR="00CD70C4">
              <w:rPr>
                <w:sz w:val="18"/>
              </w:rPr>
              <w:t xml:space="preserve">. </w:t>
            </w:r>
            <w:r w:rsidRPr="001F42D6">
              <w:rPr>
                <w:sz w:val="18"/>
              </w:rPr>
              <w:t>Failure or poor advice will have significant impact on the organisation and decision making.</w:t>
            </w:r>
          </w:p>
        </w:tc>
      </w:tr>
      <w:tr w:rsidR="001F42D6" w:rsidRPr="001F42D6" w14:paraId="108A12D7" w14:textId="77777777" w:rsidTr="007807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6" w:type="dxa"/>
          </w:tcPr>
          <w:p w14:paraId="24492FAC" w14:textId="77777777" w:rsidR="001F42D6" w:rsidRPr="001F42D6" w:rsidRDefault="001F42D6" w:rsidP="001F42D6">
            <w:pPr>
              <w:pStyle w:val="TableText"/>
              <w:rPr>
                <w:color w:val="auto"/>
                <w:sz w:val="18"/>
              </w:rPr>
            </w:pPr>
            <w:r w:rsidRPr="001F42D6">
              <w:rPr>
                <w:color w:val="auto"/>
                <w:sz w:val="18"/>
              </w:rPr>
              <w:t>Supplier resources and expertise</w:t>
            </w:r>
          </w:p>
          <w:p w14:paraId="26B69A60" w14:textId="77777777" w:rsidR="001F42D6" w:rsidRPr="001F42D6" w:rsidRDefault="001F42D6" w:rsidP="001F42D6">
            <w:pPr>
              <w:pStyle w:val="TableText"/>
              <w:rPr>
                <w:color w:val="auto"/>
                <w:sz w:val="18"/>
              </w:rPr>
            </w:pPr>
            <w:r w:rsidRPr="001F42D6">
              <w:rPr>
                <w:color w:val="auto"/>
                <w:sz w:val="18"/>
              </w:rPr>
              <w:t>Relevant insurance cover:</w:t>
            </w:r>
          </w:p>
          <w:p w14:paraId="464D13E4" w14:textId="77777777" w:rsidR="001F42D6" w:rsidRPr="001F42D6" w:rsidRDefault="001F42D6" w:rsidP="001F42D6">
            <w:pPr>
              <w:pStyle w:val="TableBullet"/>
              <w:rPr>
                <w:color w:val="auto"/>
                <w:sz w:val="18"/>
              </w:rPr>
            </w:pPr>
            <w:r w:rsidRPr="001F42D6">
              <w:rPr>
                <w:color w:val="auto"/>
                <w:sz w:val="18"/>
              </w:rPr>
              <w:t>professional indemnity</w:t>
            </w:r>
          </w:p>
        </w:tc>
        <w:tc>
          <w:tcPr>
            <w:tcW w:w="2426" w:type="dxa"/>
          </w:tcPr>
          <w:p w14:paraId="1600E274"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Extensive experience in the area relevant to the procurement activity</w:t>
            </w:r>
            <w:r w:rsidR="00CD70C4">
              <w:rPr>
                <w:sz w:val="18"/>
              </w:rPr>
              <w:t xml:space="preserve">. </w:t>
            </w:r>
            <w:r w:rsidRPr="001F42D6">
              <w:rPr>
                <w:sz w:val="18"/>
              </w:rPr>
              <w:t>Supplier can demonstrate excellent supply chain relationships</w:t>
            </w:r>
            <w:r w:rsidR="00CD70C4">
              <w:rPr>
                <w:sz w:val="18"/>
              </w:rPr>
              <w:t xml:space="preserve">. </w:t>
            </w:r>
            <w:r w:rsidRPr="001F42D6">
              <w:rPr>
                <w:sz w:val="18"/>
              </w:rPr>
              <w:t>Minimal staff turnover and strong retention of core expertise.</w:t>
            </w:r>
          </w:p>
        </w:tc>
        <w:tc>
          <w:tcPr>
            <w:tcW w:w="2428" w:type="dxa"/>
          </w:tcPr>
          <w:p w14:paraId="3AFC40B3"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Sufficient experience in the area relevant to the procurement activity</w:t>
            </w:r>
            <w:r w:rsidR="00CD70C4">
              <w:rPr>
                <w:sz w:val="18"/>
              </w:rPr>
              <w:t xml:space="preserve">. </w:t>
            </w:r>
            <w:r w:rsidRPr="001F42D6">
              <w:rPr>
                <w:sz w:val="18"/>
              </w:rPr>
              <w:t>Some incidence of industrial relations issues but little reported evidence of cost overruns or service delivery delays.</w:t>
            </w:r>
          </w:p>
          <w:p w14:paraId="7A4AF495"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p>
        </w:tc>
        <w:tc>
          <w:tcPr>
            <w:tcW w:w="2418" w:type="dxa"/>
          </w:tcPr>
          <w:p w14:paraId="2895E500"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Supplier has little experience at the level of complexity assessed for the procurement activity</w:t>
            </w:r>
            <w:r w:rsidR="00CD70C4">
              <w:rPr>
                <w:sz w:val="18"/>
              </w:rPr>
              <w:t xml:space="preserve">. </w:t>
            </w:r>
            <w:r w:rsidRPr="001F42D6">
              <w:rPr>
                <w:sz w:val="18"/>
              </w:rPr>
              <w:t>The supply arrangement is a recently formed consortium comprising very different levels of expertise even though all areas of need are covered.</w:t>
            </w:r>
          </w:p>
          <w:p w14:paraId="197F07FF"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The principle supplier has a poor record in supply chain management evidenced by extensive legal claims for payment.</w:t>
            </w:r>
          </w:p>
          <w:p w14:paraId="396270B1" w14:textId="77777777" w:rsidR="001F42D6" w:rsidRPr="001F42D6" w:rsidRDefault="001F42D6" w:rsidP="001F42D6">
            <w:pPr>
              <w:pStyle w:val="TableText"/>
              <w:cnfStyle w:val="000000010000" w:firstRow="0" w:lastRow="0" w:firstColumn="0" w:lastColumn="0" w:oddVBand="0" w:evenVBand="0" w:oddHBand="0" w:evenHBand="1" w:firstRowFirstColumn="0" w:firstRowLastColumn="0" w:lastRowFirstColumn="0" w:lastRowLastColumn="0"/>
              <w:rPr>
                <w:sz w:val="18"/>
              </w:rPr>
            </w:pPr>
            <w:r w:rsidRPr="001F42D6">
              <w:rPr>
                <w:sz w:val="18"/>
              </w:rPr>
              <w:t>Evidence of poor record in managing industrial relations issues resulting in significant cost overruns and delays.</w:t>
            </w:r>
          </w:p>
        </w:tc>
      </w:tr>
      <w:tr w:rsidR="001F42D6" w:rsidRPr="001F42D6" w14:paraId="5D1EDC10" w14:textId="77777777" w:rsidTr="007807F6">
        <w:tc>
          <w:tcPr>
            <w:cnfStyle w:val="001000000000" w:firstRow="0" w:lastRow="0" w:firstColumn="1" w:lastColumn="0" w:oddVBand="0" w:evenVBand="0" w:oddHBand="0" w:evenHBand="0" w:firstRowFirstColumn="0" w:firstRowLastColumn="0" w:lastRowFirstColumn="0" w:lastRowLastColumn="0"/>
            <w:tcW w:w="2406" w:type="dxa"/>
          </w:tcPr>
          <w:p w14:paraId="1C018219" w14:textId="77777777" w:rsidR="001F42D6" w:rsidRPr="001F42D6" w:rsidRDefault="001F42D6" w:rsidP="001F42D6">
            <w:pPr>
              <w:pStyle w:val="TableText"/>
              <w:rPr>
                <w:color w:val="auto"/>
                <w:sz w:val="18"/>
              </w:rPr>
            </w:pPr>
            <w:r w:rsidRPr="001F42D6">
              <w:rPr>
                <w:color w:val="auto"/>
                <w:sz w:val="18"/>
              </w:rPr>
              <w:lastRenderedPageBreak/>
              <w:t>Insurable timeframes</w:t>
            </w:r>
          </w:p>
          <w:p w14:paraId="00E8B135" w14:textId="77777777" w:rsidR="001F42D6" w:rsidRPr="001F42D6" w:rsidRDefault="001F42D6" w:rsidP="001F42D6">
            <w:pPr>
              <w:pStyle w:val="TableText"/>
              <w:rPr>
                <w:color w:val="auto"/>
                <w:sz w:val="18"/>
              </w:rPr>
            </w:pPr>
            <w:r w:rsidRPr="001F42D6">
              <w:rPr>
                <w:color w:val="auto"/>
                <w:sz w:val="18"/>
              </w:rPr>
              <w:t>Relevant insurance cover:</w:t>
            </w:r>
          </w:p>
          <w:p w14:paraId="79E2F39A" w14:textId="77777777" w:rsidR="001F42D6" w:rsidRPr="001F42D6" w:rsidRDefault="001F42D6" w:rsidP="001F42D6">
            <w:pPr>
              <w:pStyle w:val="TableBullet"/>
              <w:rPr>
                <w:color w:val="auto"/>
                <w:sz w:val="18"/>
              </w:rPr>
            </w:pPr>
            <w:r w:rsidRPr="001F42D6">
              <w:rPr>
                <w:color w:val="auto"/>
                <w:sz w:val="18"/>
              </w:rPr>
              <w:t>public liability</w:t>
            </w:r>
          </w:p>
          <w:p w14:paraId="12A84160" w14:textId="77777777" w:rsidR="001F42D6" w:rsidRPr="001F42D6" w:rsidRDefault="001F42D6" w:rsidP="001F42D6">
            <w:pPr>
              <w:pStyle w:val="TableBullet"/>
              <w:rPr>
                <w:color w:val="auto"/>
                <w:sz w:val="18"/>
              </w:rPr>
            </w:pPr>
            <w:r w:rsidRPr="001F42D6">
              <w:rPr>
                <w:color w:val="auto"/>
                <w:sz w:val="18"/>
              </w:rPr>
              <w:t>product liability</w:t>
            </w:r>
          </w:p>
          <w:p w14:paraId="5BE0CA94" w14:textId="77777777" w:rsidR="001F42D6" w:rsidRDefault="001F42D6" w:rsidP="001F42D6">
            <w:pPr>
              <w:pStyle w:val="TableBullet"/>
              <w:rPr>
                <w:color w:val="auto"/>
                <w:sz w:val="18"/>
              </w:rPr>
            </w:pPr>
            <w:r w:rsidRPr="001F42D6">
              <w:rPr>
                <w:color w:val="auto"/>
                <w:sz w:val="18"/>
              </w:rPr>
              <w:t>professional indemnity</w:t>
            </w:r>
          </w:p>
          <w:p w14:paraId="59C86D46" w14:textId="77777777" w:rsidR="0064249D" w:rsidRPr="001F42D6" w:rsidRDefault="0064249D" w:rsidP="0064249D">
            <w:pPr>
              <w:pStyle w:val="TableBullet"/>
              <w:numPr>
                <w:ilvl w:val="0"/>
                <w:numId w:val="0"/>
              </w:numPr>
              <w:rPr>
                <w:color w:val="auto"/>
                <w:sz w:val="18"/>
              </w:rPr>
            </w:pPr>
          </w:p>
        </w:tc>
        <w:tc>
          <w:tcPr>
            <w:tcW w:w="2426" w:type="dxa"/>
          </w:tcPr>
          <w:p w14:paraId="79150AA4"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Exposure less than two years/or contract terms</w:t>
            </w:r>
          </w:p>
        </w:tc>
        <w:tc>
          <w:tcPr>
            <w:tcW w:w="2428" w:type="dxa"/>
          </w:tcPr>
          <w:p w14:paraId="37462B37"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Exposure greater than two years but associated with a fixed end date.</w:t>
            </w:r>
          </w:p>
        </w:tc>
        <w:tc>
          <w:tcPr>
            <w:tcW w:w="2418" w:type="dxa"/>
          </w:tcPr>
          <w:p w14:paraId="19F4BDB7" w14:textId="77777777" w:rsidR="001F42D6" w:rsidRPr="001F42D6" w:rsidRDefault="001F42D6" w:rsidP="001F42D6">
            <w:pPr>
              <w:pStyle w:val="TableText"/>
              <w:cnfStyle w:val="000000000000" w:firstRow="0" w:lastRow="0" w:firstColumn="0" w:lastColumn="0" w:oddVBand="0" w:evenVBand="0" w:oddHBand="0" w:evenHBand="0" w:firstRowFirstColumn="0" w:firstRowLastColumn="0" w:lastRowFirstColumn="0" w:lastRowLastColumn="0"/>
              <w:rPr>
                <w:sz w:val="18"/>
              </w:rPr>
            </w:pPr>
            <w:r w:rsidRPr="001F42D6">
              <w:rPr>
                <w:sz w:val="18"/>
              </w:rPr>
              <w:t>Long</w:t>
            </w:r>
            <w:r w:rsidR="0029461D">
              <w:rPr>
                <w:sz w:val="18"/>
              </w:rPr>
              <w:noBreakHyphen/>
            </w:r>
            <w:r w:rsidRPr="001F42D6">
              <w:rPr>
                <w:sz w:val="18"/>
              </w:rPr>
              <w:t>term exposure, the time frame could be open ended in time and obligation.</w:t>
            </w:r>
          </w:p>
        </w:tc>
      </w:tr>
    </w:tbl>
    <w:p w14:paraId="03ED2FB4" w14:textId="77777777" w:rsidR="001F42D6" w:rsidRDefault="001F42D6" w:rsidP="001F42D6"/>
    <w:p w14:paraId="3D4BB05B" w14:textId="77777777" w:rsidR="0064249D" w:rsidRDefault="0064249D" w:rsidP="0064249D"/>
    <w:p w14:paraId="1BB97418" w14:textId="77777777" w:rsidR="0064249D" w:rsidRDefault="0064249D" w:rsidP="0064249D"/>
    <w:p w14:paraId="34A778D0" w14:textId="31AA2E41" w:rsidR="0064249D" w:rsidRDefault="0064249D" w:rsidP="0064249D"/>
    <w:p w14:paraId="68BD2E6E" w14:textId="3CAB225B" w:rsidR="007807F6" w:rsidRDefault="007807F6" w:rsidP="0064249D"/>
    <w:p w14:paraId="0C51C239" w14:textId="3794AAEC" w:rsidR="007807F6" w:rsidRDefault="007807F6" w:rsidP="0064249D"/>
    <w:p w14:paraId="59A0871D" w14:textId="77777777" w:rsidR="0065238A" w:rsidRPr="004C364C" w:rsidRDefault="0065238A" w:rsidP="0065238A">
      <w:pPr>
        <w:pStyle w:val="Heading2"/>
        <w:rPr>
          <w:b w:val="0"/>
          <w:bCs/>
          <w:color w:val="7030A0"/>
          <w:spacing w:val="2"/>
        </w:rPr>
      </w:pPr>
      <w:r w:rsidRPr="004C364C">
        <w:rPr>
          <w:bCs/>
          <w:color w:val="7030A0"/>
          <w:spacing w:val="2"/>
        </w:rPr>
        <w:t>Using this tool</w:t>
      </w:r>
    </w:p>
    <w:p w14:paraId="1ACE8E4A" w14:textId="6446B016" w:rsidR="0065238A" w:rsidRDefault="0065238A" w:rsidP="0065238A">
      <w:pPr>
        <w:spacing w:before="0" w:after="200"/>
      </w:pPr>
      <w:r w:rsidRPr="00D56617">
        <w:t xml:space="preserve">This </w:t>
      </w:r>
      <w:r>
        <w:t xml:space="preserve">tool </w:t>
      </w:r>
      <w:r w:rsidRPr="00D56617">
        <w:t xml:space="preserve">accompanies </w:t>
      </w:r>
      <w:r>
        <w:t xml:space="preserve">the </w:t>
      </w:r>
      <w:hyperlink r:id="rId9" w:history="1">
        <w:r w:rsidRPr="00B461CB">
          <w:rPr>
            <w:rStyle w:val="Hyperlink"/>
          </w:rPr>
          <w:t>Insurance provisions - Goods and services procurement guide</w:t>
        </w:r>
      </w:hyperlink>
      <w:r w:rsidR="00B461CB">
        <w:t>.</w:t>
      </w:r>
    </w:p>
    <w:p w14:paraId="5D6DEBA3" w14:textId="5CF5A621" w:rsidR="007807F6" w:rsidRDefault="007807F6" w:rsidP="0064249D"/>
    <w:p w14:paraId="56F318A1" w14:textId="4704ADC2" w:rsidR="007807F6" w:rsidRDefault="007807F6" w:rsidP="0064249D"/>
    <w:p w14:paraId="198ABA14" w14:textId="7A11597E" w:rsidR="007807F6" w:rsidRDefault="007807F6" w:rsidP="0064249D"/>
    <w:p w14:paraId="06A33AE0" w14:textId="3F165FD8" w:rsidR="007807F6" w:rsidRDefault="007807F6" w:rsidP="0064249D"/>
    <w:p w14:paraId="5867AB59" w14:textId="1C2552EC" w:rsidR="007807F6" w:rsidRDefault="007807F6" w:rsidP="0064249D"/>
    <w:p w14:paraId="5EEAD630" w14:textId="7227E0F3" w:rsidR="007807F6" w:rsidRDefault="007807F6" w:rsidP="0064249D"/>
    <w:p w14:paraId="7EEDD198" w14:textId="048EB639" w:rsidR="007807F6" w:rsidRDefault="007807F6" w:rsidP="0064249D"/>
    <w:p w14:paraId="71F161E0" w14:textId="5444BEEB" w:rsidR="007807F6" w:rsidRDefault="007807F6" w:rsidP="0064249D"/>
    <w:p w14:paraId="6C5D109D" w14:textId="49534FAB" w:rsidR="007807F6" w:rsidRDefault="007807F6" w:rsidP="0064249D"/>
    <w:p w14:paraId="1C243E0C" w14:textId="356D0D8E" w:rsidR="007807F6" w:rsidRDefault="007807F6" w:rsidP="0064249D"/>
    <w:p w14:paraId="33ADC718" w14:textId="2CBBBAA3" w:rsidR="007807F6" w:rsidRDefault="007807F6" w:rsidP="0064249D"/>
    <w:p w14:paraId="38F3CDAA" w14:textId="003E789E" w:rsidR="007807F6" w:rsidRDefault="007807F6" w:rsidP="0064249D"/>
    <w:p w14:paraId="77A5E7DD" w14:textId="77777777" w:rsidR="007807F6" w:rsidRDefault="007807F6" w:rsidP="0064249D"/>
    <w:p w14:paraId="450024E9" w14:textId="3194DF14" w:rsidR="007807F6" w:rsidRDefault="007807F6" w:rsidP="0064249D"/>
    <w:p w14:paraId="373ED357" w14:textId="77777777" w:rsidR="007807F6" w:rsidRDefault="007807F6" w:rsidP="0064249D"/>
    <w:p w14:paraId="17D290F7" w14:textId="7B83629F" w:rsidR="0064249D" w:rsidRPr="006828FC" w:rsidRDefault="0065238A" w:rsidP="0064249D">
      <w:r>
        <w:t xml:space="preserve">© </w:t>
      </w:r>
      <w:r w:rsidR="0064249D" w:rsidRPr="006828FC">
        <w:t xml:space="preserve">State of Victoria </w:t>
      </w:r>
      <w:r w:rsidR="0064249D" w:rsidRPr="000657C8">
        <w:t>201</w:t>
      </w:r>
      <w:r>
        <w:t>3 (Victorian Government Purchasing Board)</w:t>
      </w:r>
    </w:p>
    <w:p w14:paraId="04101F90" w14:textId="77777777" w:rsidR="0064249D" w:rsidRPr="006828FC" w:rsidRDefault="0064249D" w:rsidP="0064249D">
      <w:r w:rsidRPr="006828FC">
        <w:rPr>
          <w:noProof/>
        </w:rPr>
        <w:drawing>
          <wp:inline distT="0" distB="0" distL="0" distR="0" wp14:anchorId="0CAF99B0" wp14:editId="47A7AEA2">
            <wp:extent cx="1117460" cy="393651"/>
            <wp:effectExtent l="0" t="0" r="6985" b="6985"/>
            <wp:docPr id="7" name="Picture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799783E4" w14:textId="77777777" w:rsidR="0064249D" w:rsidRPr="006828FC" w:rsidRDefault="0064249D" w:rsidP="0064249D">
      <w:r w:rsidRPr="006828FC">
        <w:t xml:space="preserve">This work is licensed under a </w:t>
      </w:r>
      <w:hyperlink r:id="rId12" w:history="1">
        <w:r w:rsidRPr="006828FC">
          <w:rPr>
            <w:rStyle w:val="Hyperlink"/>
          </w:rPr>
          <w:t xml:space="preserve">Creative Commons Attribution </w:t>
        </w:r>
        <w:r w:rsidR="000657C8">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4ABC4F4" w14:textId="77777777" w:rsidR="001F42D6" w:rsidRDefault="0064249D" w:rsidP="0064249D">
      <w:r w:rsidRPr="006828FC">
        <w:t xml:space="preserve">Copyright queries may be directed to </w:t>
      </w:r>
      <w:hyperlink r:id="rId13" w:history="1">
        <w:r w:rsidRPr="006828FC">
          <w:rPr>
            <w:rStyle w:val="Hyperlink"/>
          </w:rPr>
          <w:t>IPpolicy@dtf.vic.gov.au</w:t>
        </w:r>
      </w:hyperlink>
    </w:p>
    <w:sectPr w:rsidR="001F42D6" w:rsidSect="00807A52">
      <w:headerReference w:type="default" r:id="rId14"/>
      <w:footerReference w:type="default" r:id="rId15"/>
      <w:headerReference w:type="first" r:id="rId16"/>
      <w:footerReference w:type="first" r:id="rId17"/>
      <w:pgSz w:w="11901" w:h="16840" w:code="9"/>
      <w:pgMar w:top="1560" w:right="1128" w:bottom="1418" w:left="1152" w:header="709"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DA67" w14:textId="77777777" w:rsidR="00AF459C" w:rsidRDefault="00AF459C">
      <w:r>
        <w:separator/>
      </w:r>
    </w:p>
    <w:p w14:paraId="38D9714B" w14:textId="77777777" w:rsidR="00AF459C" w:rsidRDefault="00AF459C"/>
  </w:endnote>
  <w:endnote w:type="continuationSeparator" w:id="0">
    <w:p w14:paraId="7E3F0A3C" w14:textId="77777777" w:rsidR="00AF459C" w:rsidRDefault="00AF459C">
      <w:r>
        <w:continuationSeparator/>
      </w:r>
    </w:p>
    <w:p w14:paraId="537888EC" w14:textId="77777777" w:rsidR="00AF459C" w:rsidRDefault="00AF4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2E6C" w14:textId="3B2BF3C2" w:rsidR="0065238A" w:rsidRDefault="0065238A" w:rsidP="00807A52">
    <w:pPr>
      <w:pStyle w:val="Footer"/>
      <w:tabs>
        <w:tab w:val="clear" w:pos="8220"/>
        <w:tab w:val="right" w:pos="9498"/>
      </w:tabs>
      <w:jc w:val="left"/>
    </w:pPr>
    <w:r w:rsidRPr="0065238A">
      <w:t>Victorian Government Purchasing Board</w:t>
    </w:r>
  </w:p>
  <w:p w14:paraId="57F82140" w14:textId="4455CB61" w:rsidR="00304E7F" w:rsidRDefault="004B7C9F" w:rsidP="00807A52">
    <w:pPr>
      <w:pStyle w:val="Footer"/>
      <w:tabs>
        <w:tab w:val="clear" w:pos="8220"/>
        <w:tab w:val="right" w:pos="9498"/>
      </w:tabs>
      <w:jc w:val="left"/>
    </w:pPr>
    <w:r>
      <mc:AlternateContent>
        <mc:Choice Requires="wps">
          <w:drawing>
            <wp:anchor distT="0" distB="0" distL="114300" distR="114300" simplePos="0" relativeHeight="251660288" behindDoc="0" locked="0" layoutInCell="0" allowOverlap="1" wp14:anchorId="6D1B34C8" wp14:editId="12C931A1">
              <wp:simplePos x="0" y="0"/>
              <wp:positionH relativeFrom="page">
                <wp:posOffset>0</wp:posOffset>
              </wp:positionH>
              <wp:positionV relativeFrom="page">
                <wp:posOffset>10236200</wp:posOffset>
              </wp:positionV>
              <wp:extent cx="7557135" cy="266700"/>
              <wp:effectExtent l="0" t="0" r="0" b="0"/>
              <wp:wrapNone/>
              <wp:docPr id="104" name="MSIPCM0235499ea8b2caeb269c6f1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AC241" w14:textId="5A1E200A" w:rsidR="004B7C9F" w:rsidRPr="004B7C9F" w:rsidRDefault="004B7C9F" w:rsidP="004B7C9F">
                          <w:pPr>
                            <w:spacing w:before="0" w:after="0"/>
                            <w:rPr>
                              <w:color w:val="000000"/>
                            </w:rPr>
                          </w:pPr>
                          <w:r w:rsidRPr="004B7C9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1B34C8" id="_x0000_t202" coordsize="21600,21600" o:spt="202" path="m,l,21600r21600,l21600,xe">
              <v:stroke joinstyle="miter"/>
              <v:path gradientshapeok="t" o:connecttype="rect"/>
            </v:shapetype>
            <v:shape id="MSIPCM0235499ea8b2caeb269c6f17"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oY18WrYCAABK&#10;BQAADgAAAAAAAAAAAAAAAAAuAgAAZHJzL2Uyb0RvYy54bWxQSwECLQAUAAYACAAAACEAyEQiD94A&#10;AAALAQAADwAAAAAAAAAAAAAAAAAQBQAAZHJzL2Rvd25yZXYueG1sUEsFBgAAAAAEAAQA8wAAABsG&#10;AAAAAA==&#10;" o:allowincell="f" filled="f" stroked="f" strokeweight=".5pt">
              <v:textbox inset="20pt,0,,0">
                <w:txbxContent>
                  <w:p w14:paraId="025AC241" w14:textId="5A1E200A" w:rsidR="004B7C9F" w:rsidRPr="004B7C9F" w:rsidRDefault="004B7C9F" w:rsidP="004B7C9F">
                    <w:pPr>
                      <w:spacing w:before="0" w:after="0"/>
                      <w:rPr>
                        <w:color w:val="000000"/>
                      </w:rPr>
                    </w:pPr>
                    <w:r w:rsidRPr="004B7C9F">
                      <w:rPr>
                        <w:color w:val="000000"/>
                      </w:rPr>
                      <w:t>OFFICIAL</w:t>
                    </w:r>
                  </w:p>
                </w:txbxContent>
              </v:textbox>
              <w10:wrap anchorx="page" anchory="page"/>
            </v:shape>
          </w:pict>
        </mc:Fallback>
      </mc:AlternateContent>
    </w:r>
    <w:sdt>
      <w:sdtPr>
        <w:id w:val="956763897"/>
        <w:docPartObj>
          <w:docPartGallery w:val="Page Numbers (Bottom of Page)"/>
          <w:docPartUnique/>
        </w:docPartObj>
      </w:sdtPr>
      <w:sdtEndPr/>
      <w:sdtContent>
        <w:sdt>
          <w:sdtPr>
            <w:id w:val="-1033952880"/>
            <w:docPartObj>
              <w:docPartGallery w:val="Page Numbers (Top of Page)"/>
              <w:docPartUnique/>
            </w:docPartObj>
          </w:sdtPr>
          <w:sdtEndPr/>
          <w:sdtContent>
            <w:r w:rsidR="00807A52">
              <w:t xml:space="preserve">Insurance </w:t>
            </w:r>
            <w:r w:rsidR="00AD1790">
              <w:t>risk assessment tool</w:t>
            </w:r>
            <w:r w:rsidR="00807A52">
              <w:t xml:space="preserve"> – Goods and services procurement guide</w:t>
            </w:r>
            <w:r w:rsidR="00807A52">
              <w:br/>
            </w:r>
            <w:r w:rsidR="0065238A">
              <w:t>July 2013</w:t>
            </w:r>
            <w:r w:rsidR="00807A52">
              <w:tab/>
              <w:t xml:space="preserve">Page </w:t>
            </w:r>
            <w:r w:rsidR="00807A52">
              <w:rPr>
                <w:b/>
                <w:bCs/>
                <w:sz w:val="24"/>
                <w:szCs w:val="24"/>
              </w:rPr>
              <w:fldChar w:fldCharType="begin"/>
            </w:r>
            <w:r w:rsidR="00807A52">
              <w:rPr>
                <w:b/>
                <w:bCs/>
              </w:rPr>
              <w:instrText xml:space="preserve"> PAGE </w:instrText>
            </w:r>
            <w:r w:rsidR="00807A52">
              <w:rPr>
                <w:b/>
                <w:bCs/>
                <w:sz w:val="24"/>
                <w:szCs w:val="24"/>
              </w:rPr>
              <w:fldChar w:fldCharType="separate"/>
            </w:r>
            <w:r w:rsidR="00807A52">
              <w:rPr>
                <w:b/>
                <w:bCs/>
              </w:rPr>
              <w:t>2</w:t>
            </w:r>
            <w:r w:rsidR="00807A52">
              <w:rPr>
                <w:b/>
                <w:bCs/>
                <w:sz w:val="24"/>
                <w:szCs w:val="24"/>
              </w:rPr>
              <w:fldChar w:fldCharType="end"/>
            </w:r>
            <w:r w:rsidR="00807A52">
              <w:t xml:space="preserve"> of </w:t>
            </w:r>
            <w:r w:rsidR="00807A52">
              <w:rPr>
                <w:b/>
                <w:bCs/>
                <w:sz w:val="24"/>
                <w:szCs w:val="24"/>
              </w:rPr>
              <w:fldChar w:fldCharType="begin"/>
            </w:r>
            <w:r w:rsidR="00807A52">
              <w:rPr>
                <w:b/>
                <w:bCs/>
              </w:rPr>
              <w:instrText xml:space="preserve"> NUMPAGES  </w:instrText>
            </w:r>
            <w:r w:rsidR="00807A52">
              <w:rPr>
                <w:b/>
                <w:bCs/>
                <w:sz w:val="24"/>
                <w:szCs w:val="24"/>
              </w:rPr>
              <w:fldChar w:fldCharType="separate"/>
            </w:r>
            <w:r w:rsidR="00807A52">
              <w:rPr>
                <w:b/>
                <w:bCs/>
              </w:rPr>
              <w:t>2</w:t>
            </w:r>
            <w:r w:rsidR="00807A52">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979E" w14:textId="77777777" w:rsidR="00304E7F" w:rsidRDefault="00304E7F" w:rsidP="003C0F49">
    <w:pPr>
      <w:pStyle w:val="Footer"/>
    </w:pPr>
    <w:r>
      <w:drawing>
        <wp:anchor distT="0" distB="0" distL="114300" distR="114300" simplePos="0" relativeHeight="251656192" behindDoc="0" locked="0" layoutInCell="1" allowOverlap="1" wp14:anchorId="42FB1707" wp14:editId="35AF3EC3">
          <wp:simplePos x="0" y="0"/>
          <wp:positionH relativeFrom="column">
            <wp:posOffset>5861050</wp:posOffset>
          </wp:positionH>
          <wp:positionV relativeFrom="page">
            <wp:posOffset>10049510</wp:posOffset>
          </wp:positionV>
          <wp:extent cx="758952" cy="438912"/>
          <wp:effectExtent l="0" t="0" r="3175" b="0"/>
          <wp:wrapNone/>
          <wp:docPr id="103" name="Picture 103"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5B6E" w14:textId="77777777" w:rsidR="00AF459C" w:rsidRDefault="00AF459C">
      <w:r>
        <w:separator/>
      </w:r>
    </w:p>
    <w:p w14:paraId="3DBD8458" w14:textId="77777777" w:rsidR="00AF459C" w:rsidRDefault="00AF459C"/>
  </w:footnote>
  <w:footnote w:type="continuationSeparator" w:id="0">
    <w:p w14:paraId="32B32ECD" w14:textId="77777777" w:rsidR="00AF459C" w:rsidRDefault="00AF459C">
      <w:r>
        <w:continuationSeparator/>
      </w:r>
    </w:p>
    <w:p w14:paraId="1F1740F9" w14:textId="77777777" w:rsidR="00AF459C" w:rsidRDefault="00AF4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A66C" w14:textId="77777777" w:rsidR="00304E7F" w:rsidRPr="00807A52" w:rsidRDefault="00807A52" w:rsidP="00807A52">
    <w:pPr>
      <w:pStyle w:val="Header"/>
      <w:tabs>
        <w:tab w:val="clear" w:pos="10350"/>
        <w:tab w:val="right" w:pos="9781"/>
      </w:tabs>
      <w:spacing w:before="240"/>
      <w:ind w:right="266"/>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BB95" w14:textId="77777777" w:rsidR="00304E7F" w:rsidRPr="007602D7" w:rsidRDefault="00304E7F" w:rsidP="00B54F88">
    <w:pPr>
      <w:pStyle w:val="Header"/>
      <w:spacing w:before="240"/>
      <w:ind w:right="-461"/>
    </w:pPr>
    <w:r w:rsidRPr="000E286D">
      <w:drawing>
        <wp:anchor distT="0" distB="0" distL="114300" distR="114300" simplePos="0" relativeHeight="251658240" behindDoc="1" locked="0" layoutInCell="1" allowOverlap="1" wp14:anchorId="2796E4DE" wp14:editId="62D6D198">
          <wp:simplePos x="0" y="0"/>
          <wp:positionH relativeFrom="column">
            <wp:posOffset>-731520</wp:posOffset>
          </wp:positionH>
          <wp:positionV relativeFrom="paragraph">
            <wp:posOffset>-200133</wp:posOffset>
          </wp:positionV>
          <wp:extent cx="560717" cy="10717356"/>
          <wp:effectExtent l="0" t="0" r="0" b="825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66338FDB" wp14:editId="6322A404">
          <wp:extent cx="2162175" cy="133350"/>
          <wp:effectExtent l="0" t="0" r="0" b="0"/>
          <wp:docPr id="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141C32F0"/>
    <w:multiLevelType w:val="hybridMultilevel"/>
    <w:tmpl w:val="A2B6A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8"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9"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0" w15:restartNumberingAfterBreak="0">
    <w:nsid w:val="259F6F15"/>
    <w:multiLevelType w:val="hybridMultilevel"/>
    <w:tmpl w:val="AFD86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2"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3ECD7B47"/>
    <w:multiLevelType w:val="hybridMultilevel"/>
    <w:tmpl w:val="5C00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6" w15:restartNumberingAfterBreak="0">
    <w:nsid w:val="419D62DB"/>
    <w:multiLevelType w:val="hybridMultilevel"/>
    <w:tmpl w:val="50D0C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027FD7"/>
    <w:multiLevelType w:val="hybridMultilevel"/>
    <w:tmpl w:val="56463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253321"/>
    <w:multiLevelType w:val="multilevel"/>
    <w:tmpl w:val="63A88F2E"/>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7" w15:restartNumberingAfterBreak="0">
    <w:nsid w:val="64E20043"/>
    <w:multiLevelType w:val="multilevel"/>
    <w:tmpl w:val="5F4C416C"/>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8"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9"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0"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F245F"/>
    <w:multiLevelType w:val="hybridMultilevel"/>
    <w:tmpl w:val="1582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6" w15:restartNumberingAfterBreak="0">
    <w:nsid w:val="7A3B0565"/>
    <w:multiLevelType w:val="multilevel"/>
    <w:tmpl w:val="33DC0166"/>
    <w:lvl w:ilvl="0">
      <w:start w:val="1"/>
      <w:numFmt w:val="bullet"/>
      <w:lvlText w:val=""/>
      <w:lvlJc w:val="left"/>
      <w:pPr>
        <w:tabs>
          <w:tab w:val="num" w:pos="720"/>
        </w:tabs>
        <w:ind w:left="720" w:hanging="360"/>
      </w:pPr>
      <w:rPr>
        <w:rFonts w:ascii="Symbol" w:hAnsi="Symbol" w:hint="default"/>
        <w:b w:val="0"/>
        <w:i w:val="0"/>
        <w:vanish w:val="0"/>
        <w:color w:val="auto"/>
        <w:sz w:val="20"/>
      </w:rPr>
    </w:lvl>
    <w:lvl w:ilvl="1">
      <w:start w:val="1"/>
      <w:numFmt w:val="bullet"/>
      <w:lvlText w:val=""/>
      <w:lvlJc w:val="left"/>
      <w:pPr>
        <w:tabs>
          <w:tab w:val="num" w:pos="1080"/>
        </w:tabs>
        <w:ind w:left="1080" w:hanging="360"/>
      </w:pPr>
      <w:rPr>
        <w:rFonts w:ascii="Symbol" w:hAnsi="Symbol" w:hint="default"/>
        <w:b w:val="0"/>
        <w:i w:val="0"/>
        <w:vanish w:val="0"/>
        <w:color w:val="auto"/>
        <w:sz w:val="20"/>
      </w:rPr>
    </w:lvl>
    <w:lvl w:ilvl="2">
      <w:start w:val="1"/>
      <w:numFmt w:val="bullet"/>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0"/>
  </w:num>
  <w:num w:numId="5">
    <w:abstractNumId w:val="11"/>
  </w:num>
  <w:num w:numId="6">
    <w:abstractNumId w:val="12"/>
  </w:num>
  <w:num w:numId="7">
    <w:abstractNumId w:val="22"/>
  </w:num>
  <w:num w:numId="8">
    <w:abstractNumId w:val="20"/>
  </w:num>
  <w:num w:numId="9">
    <w:abstractNumId w:val="28"/>
  </w:num>
  <w:num w:numId="10">
    <w:abstractNumId w:val="9"/>
  </w:num>
  <w:num w:numId="11">
    <w:abstractNumId w:val="4"/>
  </w:num>
  <w:num w:numId="12">
    <w:abstractNumId w:val="2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7"/>
  </w:num>
  <w:num w:numId="16">
    <w:abstractNumId w:val="26"/>
  </w:num>
  <w:num w:numId="17">
    <w:abstractNumId w:val="36"/>
  </w:num>
  <w:num w:numId="18">
    <w:abstractNumId w:val="6"/>
  </w:num>
  <w:num w:numId="19">
    <w:abstractNumId w:val="23"/>
  </w:num>
  <w:num w:numId="20">
    <w:abstractNumId w:val="16"/>
  </w:num>
  <w:num w:numId="21">
    <w:abstractNumId w:val="18"/>
  </w:num>
  <w:num w:numId="22">
    <w:abstractNumId w:val="18"/>
  </w:num>
  <w:num w:numId="23">
    <w:abstractNumId w:val="18"/>
  </w:num>
  <w:num w:numId="24">
    <w:abstractNumId w:val="31"/>
  </w:num>
  <w:num w:numId="25">
    <w:abstractNumId w:val="10"/>
  </w:num>
  <w:num w:numId="26">
    <w:abstractNumId w:val="18"/>
  </w:num>
  <w:num w:numId="27">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638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17BFC"/>
    <w:rsid w:val="00026C82"/>
    <w:rsid w:val="0004698A"/>
    <w:rsid w:val="00063BFD"/>
    <w:rsid w:val="000657C8"/>
    <w:rsid w:val="00072E7B"/>
    <w:rsid w:val="00086691"/>
    <w:rsid w:val="00086AD6"/>
    <w:rsid w:val="000949CB"/>
    <w:rsid w:val="000C141A"/>
    <w:rsid w:val="000C1C01"/>
    <w:rsid w:val="000C3368"/>
    <w:rsid w:val="000C3814"/>
    <w:rsid w:val="000E4881"/>
    <w:rsid w:val="000E5B4E"/>
    <w:rsid w:val="000F54E7"/>
    <w:rsid w:val="00102BFC"/>
    <w:rsid w:val="00104077"/>
    <w:rsid w:val="001213BE"/>
    <w:rsid w:val="00121E2A"/>
    <w:rsid w:val="00122EAB"/>
    <w:rsid w:val="001251C4"/>
    <w:rsid w:val="00126C86"/>
    <w:rsid w:val="00135230"/>
    <w:rsid w:val="00143A23"/>
    <w:rsid w:val="00144557"/>
    <w:rsid w:val="0015674B"/>
    <w:rsid w:val="00157448"/>
    <w:rsid w:val="00164424"/>
    <w:rsid w:val="00181844"/>
    <w:rsid w:val="00184E1A"/>
    <w:rsid w:val="00186CE7"/>
    <w:rsid w:val="0018749C"/>
    <w:rsid w:val="001A7B19"/>
    <w:rsid w:val="001B0B3F"/>
    <w:rsid w:val="001C0319"/>
    <w:rsid w:val="001C351D"/>
    <w:rsid w:val="001C6970"/>
    <w:rsid w:val="001D0547"/>
    <w:rsid w:val="001D5E05"/>
    <w:rsid w:val="001D60E6"/>
    <w:rsid w:val="001E0A43"/>
    <w:rsid w:val="001E67A9"/>
    <w:rsid w:val="001F42D6"/>
    <w:rsid w:val="00205B35"/>
    <w:rsid w:val="002063AC"/>
    <w:rsid w:val="00225175"/>
    <w:rsid w:val="002344F7"/>
    <w:rsid w:val="00252F44"/>
    <w:rsid w:val="002578C1"/>
    <w:rsid w:val="00260106"/>
    <w:rsid w:val="00267317"/>
    <w:rsid w:val="00267638"/>
    <w:rsid w:val="002729D5"/>
    <w:rsid w:val="00283A24"/>
    <w:rsid w:val="0029461D"/>
    <w:rsid w:val="002A18C2"/>
    <w:rsid w:val="002A4C3E"/>
    <w:rsid w:val="002A5CDC"/>
    <w:rsid w:val="002B5B19"/>
    <w:rsid w:val="002C4EC9"/>
    <w:rsid w:val="002C6424"/>
    <w:rsid w:val="002E1673"/>
    <w:rsid w:val="002E7EFC"/>
    <w:rsid w:val="002F2549"/>
    <w:rsid w:val="002F64DF"/>
    <w:rsid w:val="002F7AEB"/>
    <w:rsid w:val="00304E7F"/>
    <w:rsid w:val="00306CBA"/>
    <w:rsid w:val="00307CC0"/>
    <w:rsid w:val="00311716"/>
    <w:rsid w:val="00322500"/>
    <w:rsid w:val="00351035"/>
    <w:rsid w:val="0035331C"/>
    <w:rsid w:val="0035660E"/>
    <w:rsid w:val="00370867"/>
    <w:rsid w:val="003738EE"/>
    <w:rsid w:val="00386859"/>
    <w:rsid w:val="00391977"/>
    <w:rsid w:val="00392E0C"/>
    <w:rsid w:val="00394D1C"/>
    <w:rsid w:val="00394EA9"/>
    <w:rsid w:val="003969A2"/>
    <w:rsid w:val="003A32E0"/>
    <w:rsid w:val="003A4A87"/>
    <w:rsid w:val="003B0731"/>
    <w:rsid w:val="003B401C"/>
    <w:rsid w:val="003B4206"/>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34BB9"/>
    <w:rsid w:val="004455A7"/>
    <w:rsid w:val="00451758"/>
    <w:rsid w:val="00456B6B"/>
    <w:rsid w:val="00462DB3"/>
    <w:rsid w:val="00466D77"/>
    <w:rsid w:val="00467979"/>
    <w:rsid w:val="00475FC8"/>
    <w:rsid w:val="00480708"/>
    <w:rsid w:val="004907E5"/>
    <w:rsid w:val="004A2DD7"/>
    <w:rsid w:val="004A460D"/>
    <w:rsid w:val="004A6718"/>
    <w:rsid w:val="004A6A50"/>
    <w:rsid w:val="004B0978"/>
    <w:rsid w:val="004B534D"/>
    <w:rsid w:val="004B7C9F"/>
    <w:rsid w:val="004C7E27"/>
    <w:rsid w:val="004D7D40"/>
    <w:rsid w:val="004F1A9B"/>
    <w:rsid w:val="005013B3"/>
    <w:rsid w:val="005040B5"/>
    <w:rsid w:val="00505FD8"/>
    <w:rsid w:val="00506E38"/>
    <w:rsid w:val="0051295C"/>
    <w:rsid w:val="005155EC"/>
    <w:rsid w:val="00520927"/>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20A4"/>
    <w:rsid w:val="005B7317"/>
    <w:rsid w:val="005C69CC"/>
    <w:rsid w:val="005D3801"/>
    <w:rsid w:val="005D502E"/>
    <w:rsid w:val="005E006C"/>
    <w:rsid w:val="005E32AE"/>
    <w:rsid w:val="005F0BBF"/>
    <w:rsid w:val="005F6958"/>
    <w:rsid w:val="00610AFF"/>
    <w:rsid w:val="00621B2B"/>
    <w:rsid w:val="0064249D"/>
    <w:rsid w:val="00645ADA"/>
    <w:rsid w:val="00647E27"/>
    <w:rsid w:val="00651A61"/>
    <w:rsid w:val="0065238A"/>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003"/>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7F6"/>
    <w:rsid w:val="007809B7"/>
    <w:rsid w:val="00782E8F"/>
    <w:rsid w:val="00782F61"/>
    <w:rsid w:val="00784401"/>
    <w:rsid w:val="00785F89"/>
    <w:rsid w:val="0078774E"/>
    <w:rsid w:val="007A6388"/>
    <w:rsid w:val="007B0E7B"/>
    <w:rsid w:val="007B4F5D"/>
    <w:rsid w:val="007B511D"/>
    <w:rsid w:val="007B546A"/>
    <w:rsid w:val="007C0F87"/>
    <w:rsid w:val="007C35C1"/>
    <w:rsid w:val="007C709E"/>
    <w:rsid w:val="007C7C80"/>
    <w:rsid w:val="007D6194"/>
    <w:rsid w:val="00803B4C"/>
    <w:rsid w:val="00807A52"/>
    <w:rsid w:val="00810AB4"/>
    <w:rsid w:val="00811C72"/>
    <w:rsid w:val="00813444"/>
    <w:rsid w:val="00813D23"/>
    <w:rsid w:val="00820D82"/>
    <w:rsid w:val="00821B10"/>
    <w:rsid w:val="0082304B"/>
    <w:rsid w:val="0082311D"/>
    <w:rsid w:val="00840293"/>
    <w:rsid w:val="008410D5"/>
    <w:rsid w:val="008433CF"/>
    <w:rsid w:val="00846677"/>
    <w:rsid w:val="008645CD"/>
    <w:rsid w:val="0087108A"/>
    <w:rsid w:val="00872CD7"/>
    <w:rsid w:val="00886A1C"/>
    <w:rsid w:val="008A3BC9"/>
    <w:rsid w:val="008A3BE3"/>
    <w:rsid w:val="008B00A2"/>
    <w:rsid w:val="008B2BD7"/>
    <w:rsid w:val="008B7C35"/>
    <w:rsid w:val="008C0D8E"/>
    <w:rsid w:val="008C5DD9"/>
    <w:rsid w:val="008D188F"/>
    <w:rsid w:val="008D2825"/>
    <w:rsid w:val="008D74B1"/>
    <w:rsid w:val="008E5070"/>
    <w:rsid w:val="008E7403"/>
    <w:rsid w:val="008F1C0C"/>
    <w:rsid w:val="00900A09"/>
    <w:rsid w:val="009074D9"/>
    <w:rsid w:val="00915450"/>
    <w:rsid w:val="0091711E"/>
    <w:rsid w:val="0092029B"/>
    <w:rsid w:val="00925CAA"/>
    <w:rsid w:val="00925F83"/>
    <w:rsid w:val="00933996"/>
    <w:rsid w:val="009342B3"/>
    <w:rsid w:val="00951F3D"/>
    <w:rsid w:val="0095549F"/>
    <w:rsid w:val="00956416"/>
    <w:rsid w:val="009572B6"/>
    <w:rsid w:val="009647C8"/>
    <w:rsid w:val="00967F9A"/>
    <w:rsid w:val="0098017E"/>
    <w:rsid w:val="00980547"/>
    <w:rsid w:val="0098787E"/>
    <w:rsid w:val="00993D1E"/>
    <w:rsid w:val="00996A60"/>
    <w:rsid w:val="009A419F"/>
    <w:rsid w:val="009A572D"/>
    <w:rsid w:val="009A6A13"/>
    <w:rsid w:val="009C2652"/>
    <w:rsid w:val="009C2923"/>
    <w:rsid w:val="009C3719"/>
    <w:rsid w:val="009C51C5"/>
    <w:rsid w:val="009C759C"/>
    <w:rsid w:val="009D19FA"/>
    <w:rsid w:val="009D34EB"/>
    <w:rsid w:val="009E5467"/>
    <w:rsid w:val="009E5F72"/>
    <w:rsid w:val="00A135CF"/>
    <w:rsid w:val="00A23384"/>
    <w:rsid w:val="00A26015"/>
    <w:rsid w:val="00A37A4F"/>
    <w:rsid w:val="00A40F98"/>
    <w:rsid w:val="00A5202A"/>
    <w:rsid w:val="00A55C19"/>
    <w:rsid w:val="00A6456E"/>
    <w:rsid w:val="00A67EEB"/>
    <w:rsid w:val="00A8571E"/>
    <w:rsid w:val="00A87845"/>
    <w:rsid w:val="00A90F14"/>
    <w:rsid w:val="00AA5A6B"/>
    <w:rsid w:val="00AB217E"/>
    <w:rsid w:val="00AC27DA"/>
    <w:rsid w:val="00AC476E"/>
    <w:rsid w:val="00AD1790"/>
    <w:rsid w:val="00AD2349"/>
    <w:rsid w:val="00AE6C2E"/>
    <w:rsid w:val="00AE7BC6"/>
    <w:rsid w:val="00AF3197"/>
    <w:rsid w:val="00AF459C"/>
    <w:rsid w:val="00AF63CF"/>
    <w:rsid w:val="00AF7E39"/>
    <w:rsid w:val="00B10361"/>
    <w:rsid w:val="00B12BD8"/>
    <w:rsid w:val="00B217D9"/>
    <w:rsid w:val="00B3351E"/>
    <w:rsid w:val="00B44C41"/>
    <w:rsid w:val="00B461CB"/>
    <w:rsid w:val="00B54F88"/>
    <w:rsid w:val="00B57C72"/>
    <w:rsid w:val="00B60925"/>
    <w:rsid w:val="00B71063"/>
    <w:rsid w:val="00B82136"/>
    <w:rsid w:val="00B82443"/>
    <w:rsid w:val="00B84494"/>
    <w:rsid w:val="00B96F20"/>
    <w:rsid w:val="00BA277B"/>
    <w:rsid w:val="00BA7830"/>
    <w:rsid w:val="00BC0888"/>
    <w:rsid w:val="00BC60A9"/>
    <w:rsid w:val="00BD45AA"/>
    <w:rsid w:val="00BE09D0"/>
    <w:rsid w:val="00BE1393"/>
    <w:rsid w:val="00BF6551"/>
    <w:rsid w:val="00C01977"/>
    <w:rsid w:val="00C16FF3"/>
    <w:rsid w:val="00C252AE"/>
    <w:rsid w:val="00C3191D"/>
    <w:rsid w:val="00C41C46"/>
    <w:rsid w:val="00C71D9D"/>
    <w:rsid w:val="00C81316"/>
    <w:rsid w:val="00C850E0"/>
    <w:rsid w:val="00CA4310"/>
    <w:rsid w:val="00CB307B"/>
    <w:rsid w:val="00CB4E50"/>
    <w:rsid w:val="00CB72F7"/>
    <w:rsid w:val="00CB793A"/>
    <w:rsid w:val="00CD4CC5"/>
    <w:rsid w:val="00CD70C4"/>
    <w:rsid w:val="00CE2166"/>
    <w:rsid w:val="00CE3FD0"/>
    <w:rsid w:val="00D000C1"/>
    <w:rsid w:val="00D06C25"/>
    <w:rsid w:val="00D25E99"/>
    <w:rsid w:val="00D31E02"/>
    <w:rsid w:val="00D355EE"/>
    <w:rsid w:val="00D40B9E"/>
    <w:rsid w:val="00D413B6"/>
    <w:rsid w:val="00D456E5"/>
    <w:rsid w:val="00D46867"/>
    <w:rsid w:val="00D57AA5"/>
    <w:rsid w:val="00D624B8"/>
    <w:rsid w:val="00D75112"/>
    <w:rsid w:val="00D75501"/>
    <w:rsid w:val="00D80AEE"/>
    <w:rsid w:val="00D83962"/>
    <w:rsid w:val="00D90B1F"/>
    <w:rsid w:val="00D9401A"/>
    <w:rsid w:val="00D9495D"/>
    <w:rsid w:val="00DA4453"/>
    <w:rsid w:val="00DB464D"/>
    <w:rsid w:val="00DB4C5B"/>
    <w:rsid w:val="00DB5A6E"/>
    <w:rsid w:val="00DB74A7"/>
    <w:rsid w:val="00DB7C93"/>
    <w:rsid w:val="00DC3EAB"/>
    <w:rsid w:val="00DD2C1F"/>
    <w:rsid w:val="00DD4AC6"/>
    <w:rsid w:val="00DD6206"/>
    <w:rsid w:val="00DE3260"/>
    <w:rsid w:val="00DE7990"/>
    <w:rsid w:val="00DF7C22"/>
    <w:rsid w:val="00E03C3C"/>
    <w:rsid w:val="00E05F22"/>
    <w:rsid w:val="00E12836"/>
    <w:rsid w:val="00E13050"/>
    <w:rsid w:val="00E20BB5"/>
    <w:rsid w:val="00E23EC0"/>
    <w:rsid w:val="00E3726E"/>
    <w:rsid w:val="00E46801"/>
    <w:rsid w:val="00E47A3E"/>
    <w:rsid w:val="00E500D1"/>
    <w:rsid w:val="00E5224A"/>
    <w:rsid w:val="00E54015"/>
    <w:rsid w:val="00E557E9"/>
    <w:rsid w:val="00E7585E"/>
    <w:rsid w:val="00E97E50"/>
    <w:rsid w:val="00EA07C3"/>
    <w:rsid w:val="00EB2189"/>
    <w:rsid w:val="00EC1C00"/>
    <w:rsid w:val="00EC4B30"/>
    <w:rsid w:val="00EC708F"/>
    <w:rsid w:val="00ED03A1"/>
    <w:rsid w:val="00ED45BB"/>
    <w:rsid w:val="00EE7442"/>
    <w:rsid w:val="00EF0075"/>
    <w:rsid w:val="00EF03B9"/>
    <w:rsid w:val="00EF17FB"/>
    <w:rsid w:val="00EF637C"/>
    <w:rsid w:val="00F006B6"/>
    <w:rsid w:val="00F00827"/>
    <w:rsid w:val="00F031EB"/>
    <w:rsid w:val="00F15703"/>
    <w:rsid w:val="00F23661"/>
    <w:rsid w:val="00F2435D"/>
    <w:rsid w:val="00F2502B"/>
    <w:rsid w:val="00F25823"/>
    <w:rsid w:val="00F26F35"/>
    <w:rsid w:val="00F31235"/>
    <w:rsid w:val="00F321B8"/>
    <w:rsid w:val="00F355BA"/>
    <w:rsid w:val="00F42424"/>
    <w:rsid w:val="00F42854"/>
    <w:rsid w:val="00F52F0F"/>
    <w:rsid w:val="00F57633"/>
    <w:rsid w:val="00F67E0A"/>
    <w:rsid w:val="00F75426"/>
    <w:rsid w:val="00F84C37"/>
    <w:rsid w:val="00F85551"/>
    <w:rsid w:val="00F93142"/>
    <w:rsid w:val="00FA0273"/>
    <w:rsid w:val="00FA784D"/>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39,#4d4d4d,maroon"/>
    </o:shapedefaults>
    <o:shapelayout v:ext="edit">
      <o:idmap v:ext="edit" data="1"/>
    </o:shapelayout>
  </w:shapeDefaults>
  <w:decimalSymbol w:val="."/>
  <w:listSeparator w:val=","/>
  <w14:docId w14:val="1F0782CD"/>
  <w15:docId w15:val="{4451FF93-127D-430B-B4E7-61C26DDC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CD70C4"/>
    <w:pPr>
      <w:keepNext/>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1"/>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9"/>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11"/>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11"/>
      </w:numPr>
    </w:pPr>
  </w:style>
  <w:style w:type="paragraph" w:customStyle="1" w:styleId="Num3">
    <w:name w:val="Num3"/>
    <w:basedOn w:val="Normal"/>
    <w:rsid w:val="00026C82"/>
    <w:pPr>
      <w:numPr>
        <w:ilvl w:val="2"/>
        <w:numId w:val="11"/>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12"/>
      </w:numPr>
      <w:ind w:left="360"/>
    </w:pPr>
  </w:style>
  <w:style w:type="character" w:customStyle="1" w:styleId="CommentTextChar">
    <w:name w:val="Comment Text Char"/>
    <w:basedOn w:val="DefaultParagraphFont"/>
    <w:link w:val="CommentText"/>
    <w:uiPriority w:val="99"/>
    <w:rsid w:val="00072E7B"/>
    <w:rPr>
      <w:rFonts w:ascii="Calibri" w:hAnsi="Calibri" w:cs="Calibri"/>
      <w:sz w:val="22"/>
      <w:szCs w:val="22"/>
    </w:rPr>
  </w:style>
  <w:style w:type="character" w:styleId="UnresolvedMention">
    <w:name w:val="Unresolved Mention"/>
    <w:basedOn w:val="DefaultParagraphFont"/>
    <w:uiPriority w:val="99"/>
    <w:semiHidden/>
    <w:unhideWhenUsed/>
    <w:rsid w:val="00B46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uyingfor.vic.gov.au/insurance-provisions-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D4F30CA-07D0-4D1C-900B-5C876A5C1983}">
  <ds:schemaRefs>
    <ds:schemaRef ds:uri="http://schemas.openxmlformats.org/officeDocument/2006/bibliography"/>
  </ds:schemaRefs>
</ds:datastoreItem>
</file>

<file path=customXml/itemProps2.xml><?xml version="1.0" encoding="utf-8"?>
<ds:datastoreItem xmlns:ds="http://schemas.openxmlformats.org/officeDocument/2006/customXml" ds:itemID="{B57979DA-50B1-4320-87B1-5324C7554D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2</cp:revision>
  <cp:lastPrinted>2017-09-25T04:34:00Z</cp:lastPrinted>
  <dcterms:created xsi:type="dcterms:W3CDTF">2022-05-24T02:36:00Z</dcterms:created>
  <dcterms:modified xsi:type="dcterms:W3CDTF">2022-05-24T02:36:00Z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4a430650-018f-41fc-972c-dd4402dccb36</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2022-05-24T02:36:00Z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035389fa-deca-4474-9761-c28c6b4e3757</vt:lpwstr>
  </property>
  <property fmtid="{D5CDD505-2E9C-101B-9397-08002B2CF9AE}" pid="14" name="MSIP_Label_7158ebbd-6c5e-441f-bfc9-4eb8c11e3978_ContentBits">
    <vt:lpwstr>2</vt:lpwstr>
  </property>
</Properties>
</file>