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3F4A" w14:textId="4C1B7F92" w:rsidR="0073607E" w:rsidRPr="00972C0C" w:rsidRDefault="0073607E" w:rsidP="00972C0C">
      <w:pPr>
        <w:pStyle w:val="Heading1"/>
        <w:rPr>
          <w:color w:val="7030A0"/>
          <w:sz w:val="32"/>
          <w:szCs w:val="32"/>
        </w:rPr>
      </w:pPr>
      <w:r w:rsidRPr="00972C0C">
        <w:rPr>
          <w:color w:val="7030A0"/>
          <w:sz w:val="32"/>
          <w:szCs w:val="32"/>
        </w:rPr>
        <w:t xml:space="preserve">Social </w:t>
      </w:r>
      <w:r w:rsidR="00156FD1">
        <w:rPr>
          <w:color w:val="7030A0"/>
          <w:sz w:val="32"/>
          <w:szCs w:val="32"/>
        </w:rPr>
        <w:t>p</w:t>
      </w:r>
      <w:r w:rsidRPr="00972C0C">
        <w:rPr>
          <w:color w:val="7030A0"/>
          <w:sz w:val="32"/>
          <w:szCs w:val="32"/>
        </w:rPr>
        <w:t xml:space="preserve">rocurement </w:t>
      </w:r>
      <w:r w:rsidR="00CF250F" w:rsidRPr="00972C0C">
        <w:rPr>
          <w:color w:val="7030A0"/>
          <w:sz w:val="32"/>
          <w:szCs w:val="32"/>
        </w:rPr>
        <w:t>s</w:t>
      </w:r>
      <w:r w:rsidRPr="00972C0C">
        <w:rPr>
          <w:color w:val="7030A0"/>
          <w:sz w:val="32"/>
          <w:szCs w:val="32"/>
        </w:rPr>
        <w:t>elf-assessment</w:t>
      </w:r>
      <w:r w:rsidR="00972C0C">
        <w:rPr>
          <w:color w:val="7030A0"/>
          <w:sz w:val="32"/>
          <w:szCs w:val="32"/>
        </w:rPr>
        <w:t xml:space="preserve"> template</w:t>
      </w:r>
    </w:p>
    <w:p w14:paraId="3305CEED" w14:textId="756C4678" w:rsidR="0073607E" w:rsidRPr="00972C0C" w:rsidRDefault="0073607E" w:rsidP="00972C0C">
      <w:pPr>
        <w:pStyle w:val="Heading2"/>
        <w:rPr>
          <w:rFonts w:eastAsia="Times New Roman"/>
          <w:color w:val="7030A0"/>
          <w:szCs w:val="28"/>
        </w:rPr>
      </w:pPr>
      <w:r w:rsidRPr="00972C0C">
        <w:rPr>
          <w:rFonts w:eastAsia="Times New Roman"/>
          <w:color w:val="7030A0"/>
          <w:szCs w:val="28"/>
        </w:rPr>
        <w:t>Foundations for social procurement success</w:t>
      </w:r>
    </w:p>
    <w:p w14:paraId="00E03A29" w14:textId="77777777" w:rsidR="0073607E" w:rsidRPr="00972C0C" w:rsidRDefault="0073607E" w:rsidP="00177FA7">
      <w:pPr>
        <w:spacing w:before="0" w:after="120" w:line="240" w:lineRule="auto"/>
        <w:rPr>
          <w:sz w:val="22"/>
          <w:szCs w:val="22"/>
        </w:rPr>
      </w:pPr>
      <w:r w:rsidRPr="00972C0C">
        <w:rPr>
          <w:sz w:val="22"/>
          <w:szCs w:val="22"/>
        </w:rPr>
        <w:t>Departments and agencies with a robust governance framework and procurement strategy that aligns with their organisation’s business strategy and procurement profile have set strong foundations for social procurement success. This is because there is already a focus on:</w:t>
      </w:r>
    </w:p>
    <w:p w14:paraId="3523E520" w14:textId="3A9D3E8F" w:rsidR="0073607E" w:rsidRPr="00972C0C" w:rsidRDefault="0073607E" w:rsidP="00686C0A">
      <w:pPr>
        <w:pStyle w:val="Bullet1"/>
        <w:spacing w:before="0" w:after="120"/>
        <w:ind w:left="357" w:hanging="357"/>
        <w:rPr>
          <w:sz w:val="22"/>
          <w:szCs w:val="22"/>
        </w:rPr>
      </w:pPr>
      <w:r w:rsidRPr="00972C0C">
        <w:rPr>
          <w:sz w:val="22"/>
          <w:szCs w:val="22"/>
        </w:rPr>
        <w:t>governance and accountability;</w:t>
      </w:r>
    </w:p>
    <w:p w14:paraId="3D19D93D" w14:textId="77777777" w:rsidR="0073607E" w:rsidRPr="00972C0C" w:rsidRDefault="0073607E" w:rsidP="00686C0A">
      <w:pPr>
        <w:pStyle w:val="Bullet1"/>
        <w:spacing w:before="0" w:after="120"/>
        <w:ind w:left="357" w:hanging="357"/>
        <w:rPr>
          <w:sz w:val="22"/>
          <w:szCs w:val="22"/>
        </w:rPr>
      </w:pPr>
      <w:r w:rsidRPr="00972C0C">
        <w:rPr>
          <w:sz w:val="22"/>
          <w:szCs w:val="22"/>
        </w:rPr>
        <w:t>high standards of probity, transparency and integrity;</w:t>
      </w:r>
    </w:p>
    <w:p w14:paraId="23AFCB9F" w14:textId="44B3A3BC" w:rsidR="0073607E" w:rsidRPr="00972C0C" w:rsidRDefault="0073607E" w:rsidP="00686C0A">
      <w:pPr>
        <w:pStyle w:val="Bullet1"/>
        <w:spacing w:before="0" w:after="120"/>
        <w:ind w:left="357" w:hanging="357"/>
        <w:rPr>
          <w:sz w:val="22"/>
          <w:szCs w:val="22"/>
        </w:rPr>
      </w:pPr>
      <w:r w:rsidRPr="00972C0C">
        <w:rPr>
          <w:sz w:val="22"/>
          <w:szCs w:val="22"/>
        </w:rPr>
        <w:t>procurement as an end-to-end activity, with a strategic approach to planning, sourcing and contract management;</w:t>
      </w:r>
    </w:p>
    <w:p w14:paraId="2A235573" w14:textId="77777777" w:rsidR="0073607E" w:rsidRPr="00972C0C" w:rsidRDefault="0073607E" w:rsidP="00686C0A">
      <w:pPr>
        <w:pStyle w:val="Bullet1"/>
        <w:spacing w:before="0" w:after="120"/>
        <w:ind w:left="357" w:hanging="357"/>
        <w:rPr>
          <w:sz w:val="22"/>
          <w:szCs w:val="22"/>
        </w:rPr>
      </w:pPr>
      <w:r w:rsidRPr="00972C0C">
        <w:rPr>
          <w:sz w:val="22"/>
          <w:szCs w:val="22"/>
        </w:rPr>
        <w:t>early and thorough market analysis;</w:t>
      </w:r>
    </w:p>
    <w:p w14:paraId="2891E995" w14:textId="77777777" w:rsidR="0073607E" w:rsidRPr="00972C0C" w:rsidRDefault="0073607E" w:rsidP="00686C0A">
      <w:pPr>
        <w:pStyle w:val="Bullet1"/>
        <w:spacing w:before="0" w:after="120"/>
        <w:ind w:left="357" w:hanging="357"/>
        <w:rPr>
          <w:sz w:val="22"/>
          <w:szCs w:val="22"/>
        </w:rPr>
      </w:pPr>
      <w:r w:rsidRPr="00972C0C">
        <w:rPr>
          <w:sz w:val="22"/>
          <w:szCs w:val="22"/>
        </w:rPr>
        <w:t xml:space="preserve">interactive market engagement; </w:t>
      </w:r>
    </w:p>
    <w:p w14:paraId="00BAB394" w14:textId="77777777" w:rsidR="0073607E" w:rsidRPr="00972C0C" w:rsidRDefault="0073607E" w:rsidP="00686C0A">
      <w:pPr>
        <w:pStyle w:val="Bullet1"/>
        <w:spacing w:before="0" w:after="120"/>
        <w:ind w:left="357" w:hanging="357"/>
        <w:rPr>
          <w:sz w:val="22"/>
          <w:szCs w:val="22"/>
        </w:rPr>
      </w:pPr>
      <w:r w:rsidRPr="00972C0C">
        <w:rPr>
          <w:sz w:val="22"/>
          <w:szCs w:val="22"/>
        </w:rPr>
        <w:t>proactive management of procurement risks; and</w:t>
      </w:r>
    </w:p>
    <w:p w14:paraId="1587DBF5" w14:textId="1F2760A7" w:rsidR="0073607E" w:rsidRPr="00972C0C" w:rsidRDefault="0073607E" w:rsidP="00177FA7">
      <w:pPr>
        <w:pStyle w:val="Bullet1"/>
        <w:spacing w:before="0" w:after="120"/>
        <w:contextualSpacing w:val="0"/>
        <w:rPr>
          <w:sz w:val="22"/>
          <w:szCs w:val="22"/>
        </w:rPr>
      </w:pPr>
      <w:r w:rsidRPr="00972C0C">
        <w:rPr>
          <w:sz w:val="22"/>
          <w:szCs w:val="22"/>
        </w:rPr>
        <w:t>performance management and continuous improvement.</w:t>
      </w:r>
    </w:p>
    <w:p w14:paraId="180DF969" w14:textId="682BD9B0" w:rsidR="0073607E" w:rsidRPr="00972C0C" w:rsidRDefault="0073607E" w:rsidP="00972C0C">
      <w:pPr>
        <w:pStyle w:val="Heading2"/>
        <w:rPr>
          <w:rFonts w:eastAsia="Times New Roman"/>
          <w:color w:val="7030A0"/>
          <w:szCs w:val="28"/>
        </w:rPr>
      </w:pPr>
      <w:r w:rsidRPr="00972C0C">
        <w:rPr>
          <w:rFonts w:eastAsia="Times New Roman"/>
          <w:color w:val="7030A0"/>
          <w:szCs w:val="28"/>
        </w:rPr>
        <w:t>Social procurement self-assessment supplements organisational capability assessment</w:t>
      </w:r>
    </w:p>
    <w:p w14:paraId="6B25E0FC" w14:textId="77777777" w:rsidR="0073607E" w:rsidRPr="00972C0C" w:rsidRDefault="0073607E" w:rsidP="00177FA7">
      <w:pPr>
        <w:spacing w:before="0" w:after="120" w:line="240" w:lineRule="auto"/>
        <w:rPr>
          <w:sz w:val="22"/>
          <w:szCs w:val="22"/>
        </w:rPr>
      </w:pPr>
      <w:r w:rsidRPr="00972C0C">
        <w:rPr>
          <w:sz w:val="22"/>
          <w:szCs w:val="22"/>
        </w:rPr>
        <w:t>A capability assessment determines the organisation’s current procurement capability, identifies capability gaps, and informs the preparation of a capability development plan to drive continuous improvement.</w:t>
      </w:r>
    </w:p>
    <w:p w14:paraId="27350FB5" w14:textId="62029264" w:rsidR="00CF250F" w:rsidRPr="00972C0C" w:rsidRDefault="0073607E" w:rsidP="00177FA7">
      <w:pPr>
        <w:spacing w:before="0" w:after="120" w:line="240" w:lineRule="auto"/>
        <w:rPr>
          <w:sz w:val="22"/>
          <w:szCs w:val="22"/>
        </w:rPr>
      </w:pPr>
      <w:r w:rsidRPr="00972C0C">
        <w:rPr>
          <w:sz w:val="22"/>
          <w:szCs w:val="22"/>
        </w:rPr>
        <w:t>All departments and agencies should undertake a capability assessment as part of their annual procurement planning process.</w:t>
      </w:r>
      <w:r w:rsidR="00CF250F" w:rsidRPr="00972C0C">
        <w:rPr>
          <w:sz w:val="22"/>
          <w:szCs w:val="22"/>
        </w:rPr>
        <w:t xml:space="preserve"> </w:t>
      </w:r>
      <w:r w:rsidR="00CF250F" w:rsidRPr="00972C0C">
        <w:rPr>
          <w:sz w:val="22"/>
          <w:szCs w:val="22"/>
          <w:lang w:eastAsia="en-US"/>
        </w:rPr>
        <w:t>Several tools and templates are available to assist departments and agencies with their capability assessment</w:t>
      </w:r>
      <w:r w:rsidR="00A73300" w:rsidRPr="00972C0C">
        <w:rPr>
          <w:sz w:val="22"/>
          <w:szCs w:val="22"/>
          <w:lang w:eastAsia="en-US"/>
        </w:rPr>
        <w:t xml:space="preserve"> (for example, </w:t>
      </w:r>
      <w:r w:rsidR="00CF250F" w:rsidRPr="00972C0C">
        <w:rPr>
          <w:sz w:val="22"/>
          <w:szCs w:val="22"/>
          <w:lang w:eastAsia="en-US"/>
        </w:rPr>
        <w:t>refer to the</w:t>
      </w:r>
      <w:r w:rsidR="00CF250F" w:rsidRPr="00972C0C">
        <w:rPr>
          <w:sz w:val="22"/>
          <w:szCs w:val="22"/>
        </w:rPr>
        <w:t xml:space="preserve"> model </w:t>
      </w:r>
      <w:hyperlink r:id="rId9" w:history="1">
        <w:r w:rsidR="00CF250F" w:rsidRPr="00C53DFC">
          <w:rPr>
            <w:rStyle w:val="Hyperlink"/>
            <w:sz w:val="22"/>
            <w:szCs w:val="22"/>
          </w:rPr>
          <w:t>Capability Assessment Tool and Template</w:t>
        </w:r>
      </w:hyperlink>
      <w:r w:rsidR="00CF250F" w:rsidRPr="00972C0C">
        <w:rPr>
          <w:sz w:val="22"/>
          <w:szCs w:val="22"/>
        </w:rPr>
        <w:t xml:space="preserve"> </w:t>
      </w:r>
      <w:r w:rsidR="00A73300" w:rsidRPr="00972C0C">
        <w:rPr>
          <w:sz w:val="22"/>
          <w:szCs w:val="22"/>
        </w:rPr>
        <w:t>for goods and services procurement).</w:t>
      </w:r>
    </w:p>
    <w:p w14:paraId="39A8610E" w14:textId="77777777" w:rsidR="0073607E" w:rsidRPr="00972C0C" w:rsidRDefault="0073607E" w:rsidP="00177FA7">
      <w:pPr>
        <w:spacing w:before="0" w:after="120" w:line="240" w:lineRule="auto"/>
        <w:rPr>
          <w:sz w:val="22"/>
          <w:szCs w:val="22"/>
        </w:rPr>
      </w:pPr>
      <w:r w:rsidRPr="00972C0C">
        <w:rPr>
          <w:sz w:val="22"/>
          <w:szCs w:val="22"/>
          <w:lang w:eastAsia="en-US"/>
        </w:rPr>
        <w:t>At a minimum, departments and agencies should complete an organisational capability assessment every year (i.e. covering all areas of the organisation that are involved in procurement). Capability assessments can also be used to assess capability at the business unit or individual level, as required.</w:t>
      </w:r>
    </w:p>
    <w:p w14:paraId="0BA028CF" w14:textId="17A49867" w:rsidR="0073607E" w:rsidRPr="00972C0C" w:rsidRDefault="0073607E" w:rsidP="00177FA7">
      <w:pPr>
        <w:spacing w:before="0" w:after="120" w:line="240" w:lineRule="auto"/>
        <w:rPr>
          <w:sz w:val="22"/>
          <w:szCs w:val="22"/>
        </w:rPr>
      </w:pPr>
      <w:r w:rsidRPr="00972C0C">
        <w:rPr>
          <w:sz w:val="22"/>
          <w:szCs w:val="22"/>
        </w:rPr>
        <w:t xml:space="preserve">This self-assessment is designed to supplement an organisation’s capability assessment and provide a high-level overview of its progress toward operationalising the </w:t>
      </w:r>
      <w:r w:rsidR="00CF250F" w:rsidRPr="00972C0C">
        <w:rPr>
          <w:sz w:val="22"/>
          <w:szCs w:val="22"/>
        </w:rPr>
        <w:t>Social Procurement Framework</w:t>
      </w:r>
      <w:r w:rsidRPr="00972C0C">
        <w:rPr>
          <w:sz w:val="22"/>
          <w:szCs w:val="22"/>
        </w:rPr>
        <w:t>. However, it the self-assessment should be completed even if an organisation has not undertaken a capability assessment in a given year.</w:t>
      </w:r>
    </w:p>
    <w:p w14:paraId="1A4A550F" w14:textId="22551FCC" w:rsidR="0073607E" w:rsidRPr="00972C0C" w:rsidRDefault="0073607E" w:rsidP="00972C0C">
      <w:pPr>
        <w:pStyle w:val="Heading2"/>
        <w:rPr>
          <w:rFonts w:eastAsia="Times New Roman"/>
          <w:color w:val="7030A0"/>
          <w:szCs w:val="28"/>
        </w:rPr>
      </w:pPr>
      <w:r w:rsidRPr="00972C0C">
        <w:rPr>
          <w:rFonts w:eastAsia="Times New Roman"/>
          <w:color w:val="7030A0"/>
          <w:szCs w:val="28"/>
        </w:rPr>
        <w:t>Completing this social procurement self-assessment</w:t>
      </w:r>
    </w:p>
    <w:p w14:paraId="30ADDB58" w14:textId="207771F9" w:rsidR="0073607E" w:rsidRPr="00972C0C" w:rsidRDefault="0073607E" w:rsidP="00177FA7">
      <w:pPr>
        <w:spacing w:before="0" w:after="120" w:line="240" w:lineRule="auto"/>
        <w:rPr>
          <w:sz w:val="22"/>
          <w:szCs w:val="22"/>
        </w:rPr>
      </w:pPr>
      <w:r w:rsidRPr="00972C0C">
        <w:rPr>
          <w:sz w:val="22"/>
          <w:szCs w:val="22"/>
        </w:rPr>
        <w:t xml:space="preserve">The self-assessment should be completed on an annual basis by each department and agency in the course of developing its Social Procurement Strategy. It should be submitted to </w:t>
      </w:r>
      <w:r w:rsidR="00177FA7" w:rsidRPr="00972C0C">
        <w:rPr>
          <w:sz w:val="22"/>
          <w:szCs w:val="22"/>
        </w:rPr>
        <w:t xml:space="preserve">the Department of Treasury and Finance </w:t>
      </w:r>
      <w:r w:rsidRPr="00972C0C">
        <w:rPr>
          <w:sz w:val="22"/>
          <w:szCs w:val="22"/>
        </w:rPr>
        <w:t>as an addendum to the Social Procurement Strategy.</w:t>
      </w:r>
    </w:p>
    <w:p w14:paraId="18C48FF8" w14:textId="6CC34046" w:rsidR="0073607E" w:rsidRPr="00972C0C" w:rsidRDefault="0073607E" w:rsidP="00177FA7">
      <w:pPr>
        <w:spacing w:before="0" w:after="120" w:line="240" w:lineRule="auto"/>
        <w:rPr>
          <w:sz w:val="22"/>
          <w:szCs w:val="22"/>
        </w:rPr>
      </w:pPr>
      <w:r w:rsidRPr="00972C0C">
        <w:rPr>
          <w:sz w:val="22"/>
          <w:szCs w:val="22"/>
        </w:rPr>
        <w:t>The self-assessment must be:</w:t>
      </w:r>
    </w:p>
    <w:p w14:paraId="47D3DE22" w14:textId="77777777" w:rsidR="0073607E" w:rsidRPr="00972C0C" w:rsidRDefault="0073607E" w:rsidP="00686C0A">
      <w:pPr>
        <w:pStyle w:val="Bullet1"/>
        <w:spacing w:before="0" w:after="120"/>
        <w:ind w:left="357" w:hanging="357"/>
        <w:rPr>
          <w:sz w:val="22"/>
          <w:szCs w:val="22"/>
        </w:rPr>
      </w:pPr>
      <w:r w:rsidRPr="00972C0C">
        <w:rPr>
          <w:sz w:val="22"/>
          <w:szCs w:val="22"/>
        </w:rPr>
        <w:t>carried out by an assessor(s) with appropriate expertise and knowledge of the organisation’s procurement function (e.g. a Chief Procurement Officer or internal procurement unit); and</w:t>
      </w:r>
    </w:p>
    <w:p w14:paraId="25FD8B4E" w14:textId="77777777" w:rsidR="0073607E" w:rsidRPr="00972C0C" w:rsidRDefault="0073607E" w:rsidP="00177FA7">
      <w:pPr>
        <w:pStyle w:val="Bullet1"/>
        <w:spacing w:before="0" w:after="120"/>
        <w:contextualSpacing w:val="0"/>
        <w:rPr>
          <w:sz w:val="22"/>
          <w:szCs w:val="22"/>
        </w:rPr>
      </w:pPr>
      <w:r w:rsidRPr="00972C0C">
        <w:rPr>
          <w:sz w:val="22"/>
          <w:szCs w:val="22"/>
        </w:rPr>
        <w:t>approved by the Accountable Officer or delegate.</w:t>
      </w:r>
    </w:p>
    <w:p w14:paraId="0AD5F7B8" w14:textId="77777777" w:rsidR="0073607E" w:rsidRPr="00972C0C" w:rsidRDefault="0073607E" w:rsidP="00972C0C">
      <w:pPr>
        <w:keepNext/>
        <w:spacing w:before="0" w:after="120" w:line="240" w:lineRule="auto"/>
        <w:rPr>
          <w:sz w:val="22"/>
          <w:szCs w:val="22"/>
        </w:rPr>
      </w:pPr>
      <w:r w:rsidRPr="00972C0C">
        <w:rPr>
          <w:sz w:val="22"/>
          <w:szCs w:val="22"/>
        </w:rPr>
        <w:lastRenderedPageBreak/>
        <w:t>The self-assessment has two components:</w:t>
      </w:r>
    </w:p>
    <w:p w14:paraId="4D8D1327" w14:textId="0363ED63" w:rsidR="0073607E" w:rsidRPr="00972C0C" w:rsidRDefault="0073607E" w:rsidP="00686C0A">
      <w:pPr>
        <w:pStyle w:val="Bullet1"/>
        <w:spacing w:before="0" w:after="120"/>
        <w:ind w:left="357" w:hanging="357"/>
        <w:rPr>
          <w:sz w:val="22"/>
          <w:szCs w:val="22"/>
        </w:rPr>
      </w:pPr>
      <w:r w:rsidRPr="00972C0C">
        <w:rPr>
          <w:sz w:val="22"/>
          <w:szCs w:val="22"/>
        </w:rPr>
        <w:t>Part A contains ten items, which are framed as positive statements. For each item, the assessor(s) must determine the extent to which they agree or disagree with the statement by placing a ‘tick’ in the appropriate column.</w:t>
      </w:r>
    </w:p>
    <w:p w14:paraId="382499AF" w14:textId="215C2D08" w:rsidR="0073607E" w:rsidRPr="00972C0C" w:rsidRDefault="0073607E" w:rsidP="00177FA7">
      <w:pPr>
        <w:pStyle w:val="Bullet1"/>
        <w:spacing w:before="0" w:after="120"/>
        <w:contextualSpacing w:val="0"/>
        <w:rPr>
          <w:sz w:val="22"/>
          <w:szCs w:val="22"/>
        </w:rPr>
      </w:pPr>
      <w:r w:rsidRPr="00972C0C">
        <w:rPr>
          <w:sz w:val="22"/>
          <w:szCs w:val="22"/>
        </w:rPr>
        <w:t xml:space="preserve">Part B contains a free text box, in which the assessor(s) complete a high-level progress statement based on the responses to Part A. The statement should summarise the organisation’s progress toward operationalising the </w:t>
      </w:r>
      <w:r w:rsidR="00177FA7" w:rsidRPr="00972C0C">
        <w:rPr>
          <w:sz w:val="22"/>
          <w:szCs w:val="22"/>
        </w:rPr>
        <w:t>Social Procurement Framework</w:t>
      </w:r>
      <w:r w:rsidR="00177FA7" w:rsidRPr="00972C0C" w:rsidDel="00177FA7">
        <w:rPr>
          <w:sz w:val="22"/>
          <w:szCs w:val="22"/>
        </w:rPr>
        <w:t xml:space="preserve"> </w:t>
      </w:r>
      <w:r w:rsidRPr="00972C0C">
        <w:rPr>
          <w:sz w:val="22"/>
          <w:szCs w:val="22"/>
        </w:rPr>
        <w:t>and be no more than 250 words in length.</w:t>
      </w:r>
    </w:p>
    <w:p w14:paraId="4CB612F0" w14:textId="1985B924" w:rsidR="00686C0A" w:rsidRPr="00972C0C" w:rsidRDefault="0073607E" w:rsidP="00177FA7">
      <w:pPr>
        <w:spacing w:before="0" w:after="120" w:line="240" w:lineRule="auto"/>
        <w:rPr>
          <w:sz w:val="22"/>
          <w:szCs w:val="22"/>
        </w:rPr>
      </w:pPr>
      <w:r w:rsidRPr="00972C0C">
        <w:rPr>
          <w:sz w:val="22"/>
          <w:szCs w:val="22"/>
        </w:rPr>
        <w:t xml:space="preserve">The responses to Part A will chart the organisation’s progress toward operationalising the </w:t>
      </w:r>
      <w:r w:rsidR="00177FA7" w:rsidRPr="00972C0C">
        <w:rPr>
          <w:sz w:val="22"/>
          <w:szCs w:val="22"/>
        </w:rPr>
        <w:t>Social Procurement Framework</w:t>
      </w:r>
      <w:r w:rsidRPr="00972C0C">
        <w:rPr>
          <w:sz w:val="22"/>
          <w:szCs w:val="22"/>
        </w:rPr>
        <w:t xml:space="preserve">. In early stages of implementing the </w:t>
      </w:r>
      <w:r w:rsidR="00177FA7" w:rsidRPr="00972C0C">
        <w:rPr>
          <w:sz w:val="22"/>
          <w:szCs w:val="22"/>
        </w:rPr>
        <w:t>Social Procurement Framework</w:t>
      </w:r>
      <w:r w:rsidRPr="00972C0C">
        <w:rPr>
          <w:sz w:val="22"/>
          <w:szCs w:val="22"/>
        </w:rPr>
        <w:t>, it is expected that many responses to Part A will be ‘Neutral’, ‘Disagree’ or ‘Strongly disagree’.</w:t>
      </w:r>
    </w:p>
    <w:p w14:paraId="6F28923B" w14:textId="3A1C495C" w:rsidR="0073607E" w:rsidRPr="00972C0C" w:rsidRDefault="0073607E" w:rsidP="00177FA7">
      <w:pPr>
        <w:spacing w:before="0" w:after="120" w:line="240" w:lineRule="auto"/>
        <w:rPr>
          <w:sz w:val="22"/>
          <w:szCs w:val="22"/>
        </w:rPr>
      </w:pPr>
      <w:r w:rsidRPr="00972C0C">
        <w:rPr>
          <w:sz w:val="22"/>
          <w:szCs w:val="22"/>
        </w:rPr>
        <w:t>Over time, however, each Social Procurement Strategy should move the organisation closer to a ‘Strongly agree’ response for all items, by focussing on:</w:t>
      </w:r>
    </w:p>
    <w:p w14:paraId="027EE277" w14:textId="67FAC44E" w:rsidR="0073607E" w:rsidRPr="00972C0C" w:rsidRDefault="0073607E" w:rsidP="00686C0A">
      <w:pPr>
        <w:pStyle w:val="Bullet1"/>
        <w:spacing w:before="0" w:after="120"/>
        <w:ind w:left="357" w:hanging="357"/>
        <w:rPr>
          <w:sz w:val="22"/>
          <w:szCs w:val="22"/>
        </w:rPr>
      </w:pPr>
      <w:r w:rsidRPr="00972C0C">
        <w:rPr>
          <w:sz w:val="22"/>
          <w:szCs w:val="22"/>
        </w:rPr>
        <w:t>raising awareness and shifting mindsets</w:t>
      </w:r>
    </w:p>
    <w:p w14:paraId="58C29A9D" w14:textId="1A49C632" w:rsidR="0073607E" w:rsidRPr="00972C0C" w:rsidRDefault="0073607E" w:rsidP="00177FA7">
      <w:pPr>
        <w:pStyle w:val="Bullet1"/>
        <w:spacing w:before="0" w:after="120"/>
        <w:contextualSpacing w:val="0"/>
        <w:rPr>
          <w:sz w:val="22"/>
          <w:szCs w:val="22"/>
        </w:rPr>
      </w:pPr>
      <w:r w:rsidRPr="00972C0C">
        <w:rPr>
          <w:sz w:val="22"/>
          <w:szCs w:val="22"/>
        </w:rPr>
        <w:t>building social procurement capability</w:t>
      </w:r>
    </w:p>
    <w:p w14:paraId="3CB25965" w14:textId="413967AB" w:rsidR="0073607E" w:rsidRPr="00972C0C" w:rsidRDefault="0073607E" w:rsidP="00177FA7">
      <w:pPr>
        <w:spacing w:before="0" w:after="120" w:line="240" w:lineRule="auto"/>
        <w:rPr>
          <w:sz w:val="22"/>
          <w:szCs w:val="22"/>
        </w:rPr>
      </w:pPr>
      <w:r w:rsidRPr="00972C0C">
        <w:rPr>
          <w:sz w:val="22"/>
          <w:szCs w:val="22"/>
        </w:rPr>
        <w:t>Where the response is ‘Unknown’, it is expected that departments and agencies will take steps to ascertain the current situation and update the Part A response as soon as practicable.</w:t>
      </w:r>
    </w:p>
    <w:p w14:paraId="211C58CD" w14:textId="77777777" w:rsidR="0073607E" w:rsidRPr="00972C0C" w:rsidRDefault="0073607E" w:rsidP="00177FA7">
      <w:pPr>
        <w:spacing w:before="0" w:after="120" w:line="240" w:lineRule="auto"/>
      </w:pPr>
    </w:p>
    <w:p w14:paraId="57877388" w14:textId="77777777" w:rsidR="0073607E" w:rsidRPr="00972C0C" w:rsidRDefault="0073607E" w:rsidP="00177FA7">
      <w:pPr>
        <w:spacing w:before="0" w:after="120" w:line="240" w:lineRule="auto"/>
        <w:sectPr w:rsidR="0073607E" w:rsidRPr="00972C0C" w:rsidSect="00972C0C">
          <w:headerReference w:type="even" r:id="rId10"/>
          <w:headerReference w:type="default" r:id="rId11"/>
          <w:footerReference w:type="even" r:id="rId12"/>
          <w:footerReference w:type="default" r:id="rId13"/>
          <w:headerReference w:type="first" r:id="rId14"/>
          <w:footerReference w:type="first" r:id="rId15"/>
          <w:pgSz w:w="11906" w:h="16838" w:code="9"/>
          <w:pgMar w:top="1560" w:right="1361" w:bottom="1560" w:left="1361" w:header="709" w:footer="693" w:gutter="0"/>
          <w:cols w:space="708"/>
          <w:titlePg/>
          <w:docGrid w:linePitch="360"/>
        </w:sectPr>
      </w:pPr>
    </w:p>
    <w:p w14:paraId="0268180E" w14:textId="76787C0C" w:rsidR="0073607E" w:rsidRPr="00972C0C" w:rsidRDefault="0073607E" w:rsidP="0073607E">
      <w:pPr>
        <w:pStyle w:val="Heading2"/>
        <w:spacing w:before="240"/>
        <w:jc w:val="center"/>
        <w:rPr>
          <w:color w:val="auto"/>
          <w:szCs w:val="28"/>
        </w:rPr>
      </w:pPr>
      <w:r w:rsidRPr="00972C0C">
        <w:rPr>
          <w:color w:val="auto"/>
          <w:szCs w:val="28"/>
        </w:rPr>
        <w:lastRenderedPageBreak/>
        <w:t>SOCIAL PROCUREMENT SELF-ASSESSMENT</w:t>
      </w:r>
    </w:p>
    <w:p w14:paraId="6E6F76EC" w14:textId="77777777" w:rsidR="0073607E" w:rsidRPr="00972C0C" w:rsidRDefault="0073607E" w:rsidP="0073607E">
      <w:pPr>
        <w:rPr>
          <w:b/>
          <w:sz w:val="4"/>
        </w:rPr>
      </w:pPr>
    </w:p>
    <w:p w14:paraId="45323186" w14:textId="77777777" w:rsidR="0073607E" w:rsidRPr="00972C0C" w:rsidRDefault="0073607E" w:rsidP="00972C0C">
      <w:pPr>
        <w:ind w:left="720" w:hanging="720"/>
        <w:rPr>
          <w:b/>
          <w:sz w:val="22"/>
          <w:szCs w:val="22"/>
        </w:rPr>
      </w:pPr>
      <w:r w:rsidRPr="00972C0C">
        <w:rPr>
          <w:b/>
          <w:sz w:val="22"/>
          <w:szCs w:val="22"/>
        </w:rPr>
        <w:t>Organisation:</w:t>
      </w:r>
      <w:r w:rsidRPr="00972C0C">
        <w:rPr>
          <w:b/>
          <w:sz w:val="22"/>
          <w:szCs w:val="22"/>
        </w:rPr>
        <w:tab/>
      </w:r>
      <w:r w:rsidRPr="00972C0C">
        <w:rPr>
          <w:b/>
          <w:sz w:val="22"/>
          <w:szCs w:val="22"/>
        </w:rPr>
        <w:tab/>
      </w:r>
      <w:r w:rsidRPr="00972C0C">
        <w:rPr>
          <w:sz w:val="22"/>
          <w:szCs w:val="22"/>
        </w:rPr>
        <w:t>[</w:t>
      </w:r>
      <w:r w:rsidRPr="00972C0C">
        <w:rPr>
          <w:i/>
          <w:sz w:val="22"/>
          <w:szCs w:val="22"/>
        </w:rPr>
        <w:t>Insert name of department/agency</w:t>
      </w:r>
      <w:r w:rsidRPr="00972C0C">
        <w:rPr>
          <w:sz w:val="22"/>
          <w:szCs w:val="22"/>
        </w:rPr>
        <w:t>]</w:t>
      </w:r>
    </w:p>
    <w:p w14:paraId="31A2C0EA" w14:textId="77777777" w:rsidR="0073607E" w:rsidRPr="00972C0C" w:rsidRDefault="0073607E" w:rsidP="00972C0C">
      <w:pPr>
        <w:ind w:left="2160" w:hanging="2160"/>
        <w:rPr>
          <w:b/>
          <w:sz w:val="22"/>
          <w:szCs w:val="22"/>
        </w:rPr>
      </w:pPr>
      <w:r w:rsidRPr="00972C0C">
        <w:rPr>
          <w:b/>
          <w:sz w:val="22"/>
          <w:szCs w:val="22"/>
        </w:rPr>
        <w:t>Assessment date:</w:t>
      </w:r>
      <w:r w:rsidRPr="00972C0C">
        <w:rPr>
          <w:b/>
          <w:sz w:val="22"/>
          <w:szCs w:val="22"/>
        </w:rPr>
        <w:tab/>
      </w:r>
      <w:r w:rsidRPr="00972C0C">
        <w:rPr>
          <w:i/>
          <w:sz w:val="22"/>
          <w:szCs w:val="22"/>
        </w:rPr>
        <w:t>[Insert date that assessment is completed (note: to be completed annually in the course of developing the Social Procurement Strategy</w:t>
      </w:r>
      <w:r w:rsidRPr="00972C0C">
        <w:rPr>
          <w:sz w:val="22"/>
          <w:szCs w:val="22"/>
        </w:rPr>
        <w:t>)]</w:t>
      </w:r>
    </w:p>
    <w:p w14:paraId="4BCFA5AD" w14:textId="77777777" w:rsidR="0073607E" w:rsidRPr="00972C0C" w:rsidRDefault="0073607E" w:rsidP="0073607E">
      <w:pPr>
        <w:spacing w:after="60"/>
        <w:rPr>
          <w:sz w:val="22"/>
          <w:szCs w:val="22"/>
        </w:rPr>
      </w:pPr>
      <w:r w:rsidRPr="00972C0C">
        <w:rPr>
          <w:b/>
          <w:sz w:val="22"/>
          <w:szCs w:val="22"/>
        </w:rPr>
        <w:t>Assessor(s):</w:t>
      </w:r>
      <w:r w:rsidRPr="00972C0C">
        <w:rPr>
          <w:b/>
          <w:sz w:val="22"/>
          <w:szCs w:val="22"/>
        </w:rPr>
        <w:tab/>
      </w:r>
      <w:r w:rsidRPr="00972C0C">
        <w:rPr>
          <w:b/>
          <w:sz w:val="22"/>
          <w:szCs w:val="22"/>
        </w:rPr>
        <w:tab/>
      </w:r>
      <w:r w:rsidRPr="00972C0C">
        <w:rPr>
          <w:sz w:val="22"/>
          <w:szCs w:val="22"/>
        </w:rPr>
        <w:t>[</w:t>
      </w:r>
      <w:r w:rsidRPr="00972C0C">
        <w:rPr>
          <w:i/>
          <w:sz w:val="22"/>
          <w:szCs w:val="22"/>
        </w:rPr>
        <w:t>Insert the name and title of assessor(s</w:t>
      </w:r>
      <w:r w:rsidRPr="00972C0C">
        <w:rPr>
          <w:sz w:val="22"/>
          <w:szCs w:val="22"/>
        </w:rPr>
        <w:t>)]</w:t>
      </w:r>
    </w:p>
    <w:p w14:paraId="7813C16D" w14:textId="77777777" w:rsidR="0073607E" w:rsidRPr="00972C0C" w:rsidRDefault="0073607E" w:rsidP="0073607E">
      <w:pPr>
        <w:rPr>
          <w:b/>
          <w:sz w:val="8"/>
        </w:rPr>
      </w:pPr>
    </w:p>
    <w:p w14:paraId="28F05BCC" w14:textId="77777777" w:rsidR="0073607E" w:rsidRPr="00972C0C" w:rsidRDefault="0073607E" w:rsidP="0073607E">
      <w:pPr>
        <w:rPr>
          <w:b/>
        </w:rPr>
      </w:pPr>
      <w:r w:rsidRPr="00972C0C">
        <w:rPr>
          <w:b/>
        </w:rPr>
        <w:t>PART A:</w:t>
      </w:r>
    </w:p>
    <w:tbl>
      <w:tblPr>
        <w:tblStyle w:val="LightList"/>
        <w:tblW w:w="15013" w:type="dxa"/>
        <w:tblBorders>
          <w:insideH w:val="single" w:sz="8" w:space="0" w:color="000000" w:themeColor="text1"/>
          <w:insideV w:val="single" w:sz="8" w:space="0" w:color="000000" w:themeColor="text1"/>
        </w:tblBorders>
        <w:tblLook w:val="04A0" w:firstRow="1" w:lastRow="0" w:firstColumn="1" w:lastColumn="0" w:noHBand="0" w:noVBand="1"/>
      </w:tblPr>
      <w:tblGrid>
        <w:gridCol w:w="612"/>
        <w:gridCol w:w="8007"/>
        <w:gridCol w:w="1065"/>
        <w:gridCol w:w="1066"/>
        <w:gridCol w:w="1066"/>
        <w:gridCol w:w="1064"/>
        <w:gridCol w:w="1066"/>
        <w:gridCol w:w="1067"/>
      </w:tblGrid>
      <w:tr w:rsidR="00972C0C" w:rsidRPr="00972C0C" w14:paraId="1CABC4B2" w14:textId="77777777" w:rsidTr="00972C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shd w:val="clear" w:color="auto" w:fill="auto"/>
          </w:tcPr>
          <w:p w14:paraId="27FE7BD9" w14:textId="77777777" w:rsidR="0073607E" w:rsidRPr="00972C0C" w:rsidRDefault="0073607E" w:rsidP="008D5665">
            <w:pPr>
              <w:spacing w:before="60" w:after="60"/>
              <w:jc w:val="center"/>
              <w:rPr>
                <w:color w:val="auto"/>
              </w:rPr>
            </w:pPr>
            <w:r w:rsidRPr="00972C0C">
              <w:rPr>
                <w:color w:val="auto"/>
              </w:rPr>
              <w:t>Item</w:t>
            </w:r>
          </w:p>
        </w:tc>
        <w:tc>
          <w:tcPr>
            <w:tcW w:w="8039" w:type="dxa"/>
            <w:shd w:val="clear" w:color="auto" w:fill="auto"/>
          </w:tcPr>
          <w:p w14:paraId="68E20C65" w14:textId="77777777" w:rsidR="0073607E" w:rsidRPr="00972C0C"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color w:val="auto"/>
              </w:rPr>
            </w:pPr>
            <w:r w:rsidRPr="00972C0C">
              <w:rPr>
                <w:color w:val="auto"/>
              </w:rPr>
              <w:t>Description</w:t>
            </w:r>
          </w:p>
        </w:tc>
        <w:tc>
          <w:tcPr>
            <w:tcW w:w="1066" w:type="dxa"/>
            <w:shd w:val="clear" w:color="auto" w:fill="auto"/>
          </w:tcPr>
          <w:p w14:paraId="4302735B" w14:textId="77777777" w:rsidR="0073607E" w:rsidRPr="00972C0C"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color w:val="auto"/>
              </w:rPr>
            </w:pPr>
            <w:r w:rsidRPr="00972C0C">
              <w:rPr>
                <w:color w:val="auto"/>
              </w:rPr>
              <w:t>Strongly disagree</w:t>
            </w:r>
          </w:p>
        </w:tc>
        <w:tc>
          <w:tcPr>
            <w:tcW w:w="1067" w:type="dxa"/>
            <w:shd w:val="clear" w:color="auto" w:fill="auto"/>
          </w:tcPr>
          <w:p w14:paraId="50103CC7" w14:textId="77777777" w:rsidR="0073607E" w:rsidRPr="00972C0C"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color w:val="auto"/>
              </w:rPr>
            </w:pPr>
            <w:r w:rsidRPr="00972C0C">
              <w:rPr>
                <w:color w:val="auto"/>
              </w:rPr>
              <w:t>Disagree</w:t>
            </w:r>
          </w:p>
        </w:tc>
        <w:tc>
          <w:tcPr>
            <w:tcW w:w="1067" w:type="dxa"/>
            <w:shd w:val="clear" w:color="auto" w:fill="auto"/>
          </w:tcPr>
          <w:p w14:paraId="19F88C84" w14:textId="77777777" w:rsidR="0073607E" w:rsidRPr="00972C0C"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color w:val="auto"/>
              </w:rPr>
            </w:pPr>
            <w:r w:rsidRPr="00972C0C">
              <w:rPr>
                <w:color w:val="auto"/>
              </w:rPr>
              <w:t>Neutral</w:t>
            </w:r>
          </w:p>
        </w:tc>
        <w:tc>
          <w:tcPr>
            <w:tcW w:w="1066" w:type="dxa"/>
            <w:shd w:val="clear" w:color="auto" w:fill="auto"/>
          </w:tcPr>
          <w:p w14:paraId="6F335ED8" w14:textId="77777777" w:rsidR="0073607E" w:rsidRPr="00972C0C"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color w:val="auto"/>
              </w:rPr>
            </w:pPr>
            <w:r w:rsidRPr="00972C0C">
              <w:rPr>
                <w:color w:val="auto"/>
              </w:rPr>
              <w:t>Agree</w:t>
            </w:r>
          </w:p>
        </w:tc>
        <w:tc>
          <w:tcPr>
            <w:tcW w:w="1067" w:type="dxa"/>
            <w:shd w:val="clear" w:color="auto" w:fill="auto"/>
          </w:tcPr>
          <w:p w14:paraId="20CA7BD5" w14:textId="77777777" w:rsidR="0073607E" w:rsidRPr="00972C0C"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color w:val="auto"/>
              </w:rPr>
            </w:pPr>
            <w:r w:rsidRPr="00972C0C">
              <w:rPr>
                <w:color w:val="auto"/>
              </w:rPr>
              <w:t>Strongly agree</w:t>
            </w:r>
          </w:p>
        </w:tc>
        <w:tc>
          <w:tcPr>
            <w:tcW w:w="1067" w:type="dxa"/>
            <w:shd w:val="clear" w:color="auto" w:fill="auto"/>
          </w:tcPr>
          <w:p w14:paraId="12FD5B7F" w14:textId="77777777" w:rsidR="0073607E" w:rsidRPr="00972C0C" w:rsidRDefault="0073607E" w:rsidP="008D5665">
            <w:pPr>
              <w:spacing w:before="60" w:after="60"/>
              <w:jc w:val="center"/>
              <w:cnfStyle w:val="100000000000" w:firstRow="1" w:lastRow="0" w:firstColumn="0" w:lastColumn="0" w:oddVBand="0" w:evenVBand="0" w:oddHBand="0" w:evenHBand="0" w:firstRowFirstColumn="0" w:firstRowLastColumn="0" w:lastRowFirstColumn="0" w:lastRowLastColumn="0"/>
              <w:rPr>
                <w:color w:val="auto"/>
              </w:rPr>
            </w:pPr>
            <w:r w:rsidRPr="00972C0C">
              <w:rPr>
                <w:color w:val="auto"/>
              </w:rPr>
              <w:t>Unknown</w:t>
            </w:r>
          </w:p>
        </w:tc>
      </w:tr>
      <w:tr w:rsidR="00972C0C" w:rsidRPr="00972C0C" w14:paraId="404A71B9" w14:textId="77777777" w:rsidTr="008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04A5A4ED" w14:textId="77777777" w:rsidR="0073607E" w:rsidRPr="00972C0C" w:rsidRDefault="0073607E" w:rsidP="008D5665">
            <w:pPr>
              <w:spacing w:before="60" w:after="60"/>
              <w:jc w:val="center"/>
            </w:pPr>
            <w:r w:rsidRPr="00972C0C">
              <w:t>1</w:t>
            </w:r>
          </w:p>
        </w:tc>
        <w:tc>
          <w:tcPr>
            <w:tcW w:w="8039" w:type="dxa"/>
          </w:tcPr>
          <w:p w14:paraId="61B4DDC7" w14:textId="77777777" w:rsidR="0073607E" w:rsidRPr="00972C0C" w:rsidRDefault="0073607E" w:rsidP="008D5665">
            <w:pPr>
              <w:spacing w:before="60" w:after="60"/>
              <w:cnfStyle w:val="000000100000" w:firstRow="0" w:lastRow="0" w:firstColumn="0" w:lastColumn="0" w:oddVBand="0" w:evenVBand="0" w:oddHBand="1" w:evenHBand="0" w:firstRowFirstColumn="0" w:firstRowLastColumn="0" w:lastRowFirstColumn="0" w:lastRowLastColumn="0"/>
            </w:pPr>
            <w:r w:rsidRPr="00972C0C">
              <w:t>Our Social Procurement Strategy covers all core components (see section 2 of this guide)</w:t>
            </w:r>
          </w:p>
        </w:tc>
        <w:tc>
          <w:tcPr>
            <w:tcW w:w="1066" w:type="dxa"/>
          </w:tcPr>
          <w:p w14:paraId="72AD18A5"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75976DB8"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4D592EBE"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6" w:type="dxa"/>
          </w:tcPr>
          <w:p w14:paraId="71631573"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013AC23C"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463A292D"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r>
      <w:tr w:rsidR="00972C0C" w:rsidRPr="00972C0C" w14:paraId="35AC53B9" w14:textId="77777777" w:rsidTr="008D5665">
        <w:tc>
          <w:tcPr>
            <w:cnfStyle w:val="001000000000" w:firstRow="0" w:lastRow="0" w:firstColumn="1" w:lastColumn="0" w:oddVBand="0" w:evenVBand="0" w:oddHBand="0" w:evenHBand="0" w:firstRowFirstColumn="0" w:firstRowLastColumn="0" w:lastRowFirstColumn="0" w:lastRowLastColumn="0"/>
            <w:tcW w:w="574" w:type="dxa"/>
          </w:tcPr>
          <w:p w14:paraId="02F9AB5D" w14:textId="77777777" w:rsidR="0073607E" w:rsidRPr="00972C0C" w:rsidRDefault="0073607E" w:rsidP="008D5665">
            <w:pPr>
              <w:spacing w:before="60" w:after="60"/>
              <w:jc w:val="center"/>
            </w:pPr>
            <w:r w:rsidRPr="00972C0C">
              <w:t>2</w:t>
            </w:r>
          </w:p>
        </w:tc>
        <w:tc>
          <w:tcPr>
            <w:tcW w:w="8039" w:type="dxa"/>
          </w:tcPr>
          <w:p w14:paraId="3F2FCA81" w14:textId="77777777" w:rsidR="0073607E" w:rsidRPr="00972C0C" w:rsidRDefault="0073607E" w:rsidP="008D5665">
            <w:pPr>
              <w:spacing w:before="60" w:after="60"/>
              <w:cnfStyle w:val="000000000000" w:firstRow="0" w:lastRow="0" w:firstColumn="0" w:lastColumn="0" w:oddVBand="0" w:evenVBand="0" w:oddHBand="0" w:evenHBand="0" w:firstRowFirstColumn="0" w:firstRowLastColumn="0" w:lastRowFirstColumn="0" w:lastRowLastColumn="0"/>
            </w:pPr>
            <w:r w:rsidRPr="00972C0C">
              <w:t>Our governance framework / accountability mechanisms promote compliance with SPF requirements</w:t>
            </w:r>
          </w:p>
        </w:tc>
        <w:tc>
          <w:tcPr>
            <w:tcW w:w="1066" w:type="dxa"/>
          </w:tcPr>
          <w:p w14:paraId="277887CA"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55FE2174"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11564D83"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6" w:type="dxa"/>
          </w:tcPr>
          <w:p w14:paraId="36E8636C"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0C3AEEFE"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4BEF480F"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r>
      <w:tr w:rsidR="00972C0C" w:rsidRPr="00972C0C" w14:paraId="14BE123A" w14:textId="77777777" w:rsidTr="008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2F14A5BE" w14:textId="77777777" w:rsidR="0073607E" w:rsidRPr="00972C0C" w:rsidRDefault="0073607E" w:rsidP="008D5665">
            <w:pPr>
              <w:spacing w:before="60" w:after="60"/>
              <w:jc w:val="center"/>
            </w:pPr>
            <w:r w:rsidRPr="00972C0C">
              <w:t>3</w:t>
            </w:r>
          </w:p>
        </w:tc>
        <w:tc>
          <w:tcPr>
            <w:tcW w:w="8039" w:type="dxa"/>
          </w:tcPr>
          <w:p w14:paraId="46273314" w14:textId="77777777" w:rsidR="0073607E" w:rsidRPr="00972C0C" w:rsidRDefault="0073607E" w:rsidP="008D5665">
            <w:pPr>
              <w:spacing w:before="60" w:after="0"/>
              <w:cnfStyle w:val="000000100000" w:firstRow="0" w:lastRow="0" w:firstColumn="0" w:lastColumn="0" w:oddVBand="0" w:evenVBand="0" w:oddHBand="1" w:evenHBand="0" w:firstRowFirstColumn="0" w:firstRowLastColumn="0" w:lastRowFirstColumn="0" w:lastRowLastColumn="0"/>
            </w:pPr>
            <w:r w:rsidRPr="00972C0C">
              <w:t>Procurement spend is actively monitored to ensure that value-for-money outcomes are achieved, taking into account:</w:t>
            </w:r>
          </w:p>
          <w:p w14:paraId="68DF63EC" w14:textId="77777777" w:rsidR="0073607E" w:rsidRPr="00972C0C" w:rsidRDefault="0073607E" w:rsidP="0073607E">
            <w:pPr>
              <w:pStyle w:val="ListParagraph"/>
              <w:numPr>
                <w:ilvl w:val="0"/>
                <w:numId w:val="2"/>
              </w:numPr>
              <w:spacing w:before="0"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972C0C">
              <w:t xml:space="preserve">the total benefits and costs over the life of the goods, services or construction being procured; </w:t>
            </w:r>
          </w:p>
          <w:p w14:paraId="5D0956E2" w14:textId="77777777" w:rsidR="0073607E" w:rsidRPr="00972C0C" w:rsidRDefault="0073607E" w:rsidP="0073607E">
            <w:pPr>
              <w:pStyle w:val="ListParagraph"/>
              <w:numPr>
                <w:ilvl w:val="0"/>
                <w:numId w:val="2"/>
              </w:numPr>
              <w:spacing w:before="0" w:after="0" w:line="240" w:lineRule="auto"/>
              <w:contextualSpacing w:val="0"/>
              <w:cnfStyle w:val="000000100000" w:firstRow="0" w:lastRow="0" w:firstColumn="0" w:lastColumn="0" w:oddVBand="0" w:evenVBand="0" w:oddHBand="1" w:evenHBand="0" w:firstRowFirstColumn="0" w:firstRowLastColumn="0" w:lastRowFirstColumn="0" w:lastRowLastColumn="0"/>
            </w:pPr>
            <w:r w:rsidRPr="00972C0C">
              <w:t>environmental, social and economic factors; and</w:t>
            </w:r>
          </w:p>
          <w:p w14:paraId="4A57097F" w14:textId="77777777" w:rsidR="0073607E" w:rsidRPr="00972C0C" w:rsidRDefault="0073607E" w:rsidP="0073607E">
            <w:pPr>
              <w:pStyle w:val="ListParagraph"/>
              <w:numPr>
                <w:ilvl w:val="0"/>
                <w:numId w:val="2"/>
              </w:numPr>
              <w:spacing w:before="0" w:after="6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pPr>
            <w:r w:rsidRPr="00972C0C">
              <w:t>any risk related to the procurement.</w:t>
            </w:r>
          </w:p>
          <w:p w14:paraId="08142E79" w14:textId="77777777" w:rsidR="0073607E" w:rsidRPr="00972C0C" w:rsidRDefault="0073607E" w:rsidP="008D5665">
            <w:pPr>
              <w:spacing w:before="60" w:after="60"/>
              <w:cnfStyle w:val="000000100000" w:firstRow="0" w:lastRow="0" w:firstColumn="0" w:lastColumn="0" w:oddVBand="0" w:evenVBand="0" w:oddHBand="1" w:evenHBand="0" w:firstRowFirstColumn="0" w:firstRowLastColumn="0" w:lastRowFirstColumn="0" w:lastRowLastColumn="0"/>
            </w:pPr>
            <w:r w:rsidRPr="00972C0C">
              <w:t xml:space="preserve">Spend analysis is capable of accommodating social procurement commitments. </w:t>
            </w:r>
          </w:p>
        </w:tc>
        <w:tc>
          <w:tcPr>
            <w:tcW w:w="1066" w:type="dxa"/>
          </w:tcPr>
          <w:p w14:paraId="09478990"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1875163B"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5EE2A2C2"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6" w:type="dxa"/>
          </w:tcPr>
          <w:p w14:paraId="378AD7B3"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6481C518"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6173061B"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r>
      <w:tr w:rsidR="00972C0C" w:rsidRPr="00972C0C" w14:paraId="0BED2F92" w14:textId="77777777" w:rsidTr="008D5665">
        <w:tc>
          <w:tcPr>
            <w:cnfStyle w:val="001000000000" w:firstRow="0" w:lastRow="0" w:firstColumn="1" w:lastColumn="0" w:oddVBand="0" w:evenVBand="0" w:oddHBand="0" w:evenHBand="0" w:firstRowFirstColumn="0" w:firstRowLastColumn="0" w:lastRowFirstColumn="0" w:lastRowLastColumn="0"/>
            <w:tcW w:w="574" w:type="dxa"/>
          </w:tcPr>
          <w:p w14:paraId="5ACDFB6F" w14:textId="77777777" w:rsidR="0073607E" w:rsidRPr="00972C0C" w:rsidRDefault="0073607E" w:rsidP="008D5665">
            <w:pPr>
              <w:spacing w:before="60" w:after="60"/>
              <w:jc w:val="center"/>
            </w:pPr>
            <w:r w:rsidRPr="00972C0C">
              <w:t>4</w:t>
            </w:r>
          </w:p>
        </w:tc>
        <w:tc>
          <w:tcPr>
            <w:tcW w:w="8039" w:type="dxa"/>
          </w:tcPr>
          <w:p w14:paraId="2B33AC4A" w14:textId="77777777" w:rsidR="0073607E" w:rsidRPr="00972C0C" w:rsidRDefault="0073607E" w:rsidP="008D5665">
            <w:pPr>
              <w:spacing w:before="60" w:after="60"/>
              <w:cnfStyle w:val="000000000000" w:firstRow="0" w:lastRow="0" w:firstColumn="0" w:lastColumn="0" w:oddVBand="0" w:evenVBand="0" w:oddHBand="0" w:evenHBand="0" w:firstRowFirstColumn="0" w:firstRowLastColumn="0" w:lastRowFirstColumn="0" w:lastRowLastColumn="0"/>
            </w:pPr>
            <w:r w:rsidRPr="00972C0C">
              <w:t>Senior management view social procurement as a strategic priority and set the tone from the top.</w:t>
            </w:r>
          </w:p>
        </w:tc>
        <w:tc>
          <w:tcPr>
            <w:tcW w:w="1066" w:type="dxa"/>
          </w:tcPr>
          <w:p w14:paraId="786559FD"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633A2735"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48FF1676"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6" w:type="dxa"/>
          </w:tcPr>
          <w:p w14:paraId="7D0D9085"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0C6E2E7D"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79FA21BC"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r>
      <w:tr w:rsidR="00972C0C" w:rsidRPr="00972C0C" w14:paraId="129B4AB0" w14:textId="77777777" w:rsidTr="008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2546BAB3" w14:textId="77777777" w:rsidR="0073607E" w:rsidRPr="00972C0C" w:rsidRDefault="0073607E" w:rsidP="008D5665">
            <w:pPr>
              <w:spacing w:before="60" w:after="60"/>
              <w:jc w:val="center"/>
            </w:pPr>
            <w:r w:rsidRPr="00972C0C">
              <w:t>5</w:t>
            </w:r>
          </w:p>
        </w:tc>
        <w:tc>
          <w:tcPr>
            <w:tcW w:w="8039" w:type="dxa"/>
          </w:tcPr>
          <w:p w14:paraId="25752385" w14:textId="77777777" w:rsidR="0073607E" w:rsidRPr="00972C0C" w:rsidRDefault="0073607E" w:rsidP="008D5665">
            <w:pPr>
              <w:spacing w:before="60" w:after="60"/>
              <w:cnfStyle w:val="000000100000" w:firstRow="0" w:lastRow="0" w:firstColumn="0" w:lastColumn="0" w:oddVBand="0" w:evenVBand="0" w:oddHBand="1" w:evenHBand="0" w:firstRowFirstColumn="0" w:firstRowLastColumn="0" w:lastRowFirstColumn="0" w:lastRowLastColumn="0"/>
            </w:pPr>
            <w:r w:rsidRPr="00972C0C">
              <w:t>Roles and responsibilities in respect of social procurement are clearly communicated and supervised by senior management.</w:t>
            </w:r>
          </w:p>
        </w:tc>
        <w:tc>
          <w:tcPr>
            <w:tcW w:w="1066" w:type="dxa"/>
          </w:tcPr>
          <w:p w14:paraId="19E06B87"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5189D516"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2FC08BED"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6" w:type="dxa"/>
          </w:tcPr>
          <w:p w14:paraId="08C4E243"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0428CBAE"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2C1A938D"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r>
      <w:tr w:rsidR="00972C0C" w:rsidRPr="00972C0C" w14:paraId="2505823D" w14:textId="77777777" w:rsidTr="008D5665">
        <w:tc>
          <w:tcPr>
            <w:cnfStyle w:val="001000000000" w:firstRow="0" w:lastRow="0" w:firstColumn="1" w:lastColumn="0" w:oddVBand="0" w:evenVBand="0" w:oddHBand="0" w:evenHBand="0" w:firstRowFirstColumn="0" w:firstRowLastColumn="0" w:lastRowFirstColumn="0" w:lastRowLastColumn="0"/>
            <w:tcW w:w="574" w:type="dxa"/>
          </w:tcPr>
          <w:p w14:paraId="6A8CF9D5" w14:textId="77777777" w:rsidR="0073607E" w:rsidRPr="00972C0C" w:rsidRDefault="0073607E" w:rsidP="008D5665">
            <w:pPr>
              <w:spacing w:before="60" w:after="60"/>
              <w:jc w:val="center"/>
            </w:pPr>
            <w:r w:rsidRPr="00972C0C">
              <w:lastRenderedPageBreak/>
              <w:t>6</w:t>
            </w:r>
          </w:p>
        </w:tc>
        <w:tc>
          <w:tcPr>
            <w:tcW w:w="8039" w:type="dxa"/>
          </w:tcPr>
          <w:p w14:paraId="3D594D8D" w14:textId="77777777" w:rsidR="0073607E" w:rsidRPr="00972C0C" w:rsidRDefault="0073607E" w:rsidP="008D5665">
            <w:pPr>
              <w:spacing w:before="60" w:after="60"/>
              <w:cnfStyle w:val="000000000000" w:firstRow="0" w:lastRow="0" w:firstColumn="0" w:lastColumn="0" w:oddVBand="0" w:evenVBand="0" w:oddHBand="0" w:evenHBand="0" w:firstRowFirstColumn="0" w:firstRowLastColumn="0" w:lastRowFirstColumn="0" w:lastRowLastColumn="0"/>
            </w:pPr>
            <w:r w:rsidRPr="00972C0C">
              <w:t>Individuals with social procurement related roles and responsibilities have sufficient knowledge, skills and experience to identify and pursue opportunities to deliver social and sustainable outcomes through procurement.</w:t>
            </w:r>
          </w:p>
        </w:tc>
        <w:tc>
          <w:tcPr>
            <w:tcW w:w="1066" w:type="dxa"/>
          </w:tcPr>
          <w:p w14:paraId="2600E6A7"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0B9D52A3"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2D77F302"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6" w:type="dxa"/>
          </w:tcPr>
          <w:p w14:paraId="6DB26B9D"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70D768B5"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12D8DF91"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r>
      <w:tr w:rsidR="00972C0C" w:rsidRPr="00972C0C" w14:paraId="43EB4301" w14:textId="77777777" w:rsidTr="008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5F62195A" w14:textId="77777777" w:rsidR="0073607E" w:rsidRPr="00972C0C" w:rsidRDefault="0073607E" w:rsidP="008D5665">
            <w:pPr>
              <w:spacing w:before="60" w:after="60"/>
              <w:jc w:val="center"/>
            </w:pPr>
            <w:r w:rsidRPr="00972C0C">
              <w:t>7</w:t>
            </w:r>
          </w:p>
        </w:tc>
        <w:tc>
          <w:tcPr>
            <w:tcW w:w="8039" w:type="dxa"/>
          </w:tcPr>
          <w:p w14:paraId="51737E91" w14:textId="77777777" w:rsidR="0073607E" w:rsidRPr="00972C0C" w:rsidRDefault="0073607E" w:rsidP="008D5665">
            <w:pPr>
              <w:spacing w:before="60" w:after="60"/>
              <w:cnfStyle w:val="000000100000" w:firstRow="0" w:lastRow="0" w:firstColumn="0" w:lastColumn="0" w:oddVBand="0" w:evenVBand="0" w:oddHBand="1" w:evenHBand="0" w:firstRowFirstColumn="0" w:firstRowLastColumn="0" w:lastRowFirstColumn="0" w:lastRowLastColumn="0"/>
            </w:pPr>
            <w:r w:rsidRPr="00972C0C">
              <w:t>Recruitment, training and professional development activities in relation to procurement integrate social procurement knowledge, skills and experience.</w:t>
            </w:r>
          </w:p>
        </w:tc>
        <w:tc>
          <w:tcPr>
            <w:tcW w:w="1066" w:type="dxa"/>
          </w:tcPr>
          <w:p w14:paraId="56CB5797"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51EC30AB"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6D13F0C7"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6" w:type="dxa"/>
          </w:tcPr>
          <w:p w14:paraId="3108E846"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3DC38126"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103E5FBB"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r>
      <w:tr w:rsidR="00972C0C" w:rsidRPr="00972C0C" w14:paraId="1FAA75C9" w14:textId="77777777" w:rsidTr="008D5665">
        <w:tc>
          <w:tcPr>
            <w:cnfStyle w:val="001000000000" w:firstRow="0" w:lastRow="0" w:firstColumn="1" w:lastColumn="0" w:oddVBand="0" w:evenVBand="0" w:oddHBand="0" w:evenHBand="0" w:firstRowFirstColumn="0" w:firstRowLastColumn="0" w:lastRowFirstColumn="0" w:lastRowLastColumn="0"/>
            <w:tcW w:w="574" w:type="dxa"/>
          </w:tcPr>
          <w:p w14:paraId="33764E70" w14:textId="77777777" w:rsidR="0073607E" w:rsidRPr="00972C0C" w:rsidRDefault="0073607E" w:rsidP="008D5665">
            <w:pPr>
              <w:spacing w:before="60" w:after="60"/>
              <w:jc w:val="center"/>
            </w:pPr>
            <w:r w:rsidRPr="00972C0C">
              <w:t>8</w:t>
            </w:r>
          </w:p>
        </w:tc>
        <w:tc>
          <w:tcPr>
            <w:tcW w:w="8039" w:type="dxa"/>
          </w:tcPr>
          <w:p w14:paraId="5CABE6B1" w14:textId="77777777" w:rsidR="0073607E" w:rsidRPr="00972C0C" w:rsidRDefault="0073607E" w:rsidP="008D5665">
            <w:pPr>
              <w:spacing w:before="60" w:after="60"/>
              <w:cnfStyle w:val="000000000000" w:firstRow="0" w:lastRow="0" w:firstColumn="0" w:lastColumn="0" w:oddVBand="0" w:evenVBand="0" w:oddHBand="0" w:evenHBand="0" w:firstRowFirstColumn="0" w:firstRowLastColumn="0" w:lastRowFirstColumn="0" w:lastRowLastColumn="0"/>
            </w:pPr>
            <w:r w:rsidRPr="00972C0C">
              <w:t>Social procurement is embedded throughout the procurement process (e.g. in procurement-related systems, policies and processes for planning, sourcing and contract management).</w:t>
            </w:r>
          </w:p>
        </w:tc>
        <w:tc>
          <w:tcPr>
            <w:tcW w:w="1066" w:type="dxa"/>
          </w:tcPr>
          <w:p w14:paraId="49BE037E"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1998E7E5"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1A04FDFB"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6" w:type="dxa"/>
          </w:tcPr>
          <w:p w14:paraId="4C904C17"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56C3FA40"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376458AB"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r>
      <w:tr w:rsidR="00972C0C" w:rsidRPr="00972C0C" w14:paraId="20DDDD0B" w14:textId="77777777" w:rsidTr="008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69755571" w14:textId="77777777" w:rsidR="0073607E" w:rsidRPr="00972C0C" w:rsidRDefault="0073607E" w:rsidP="008D5665">
            <w:pPr>
              <w:spacing w:before="60" w:after="60"/>
              <w:jc w:val="center"/>
            </w:pPr>
            <w:r w:rsidRPr="00972C0C">
              <w:t>9</w:t>
            </w:r>
          </w:p>
        </w:tc>
        <w:tc>
          <w:tcPr>
            <w:tcW w:w="8039" w:type="dxa"/>
          </w:tcPr>
          <w:p w14:paraId="555BBD72" w14:textId="77777777" w:rsidR="0073607E" w:rsidRPr="00972C0C" w:rsidRDefault="0073607E" w:rsidP="008D5665">
            <w:pPr>
              <w:spacing w:before="60" w:after="60"/>
              <w:cnfStyle w:val="000000100000" w:firstRow="0" w:lastRow="0" w:firstColumn="0" w:lastColumn="0" w:oddVBand="0" w:evenVBand="0" w:oddHBand="1" w:evenHBand="0" w:firstRowFirstColumn="0" w:firstRowLastColumn="0" w:lastRowFirstColumn="0" w:lastRowLastColumn="0"/>
            </w:pPr>
            <w:r w:rsidRPr="00972C0C">
              <w:t>Supplier and stakeholder relations are managed on an ongoing basis to promote compliance with contractual obligations. Management of supplier and stakeholder relations is capable of accommodating social procurement commitments.</w:t>
            </w:r>
          </w:p>
        </w:tc>
        <w:tc>
          <w:tcPr>
            <w:tcW w:w="1066" w:type="dxa"/>
          </w:tcPr>
          <w:p w14:paraId="3B7F9FBF"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2A203A5B"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316B71FA"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6" w:type="dxa"/>
          </w:tcPr>
          <w:p w14:paraId="02005127"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6135E3A9"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c>
          <w:tcPr>
            <w:tcW w:w="1067" w:type="dxa"/>
          </w:tcPr>
          <w:p w14:paraId="6B6BC7D3" w14:textId="77777777" w:rsidR="0073607E" w:rsidRPr="00972C0C" w:rsidRDefault="0073607E" w:rsidP="008D5665">
            <w:pPr>
              <w:spacing w:before="60" w:after="60"/>
              <w:jc w:val="center"/>
              <w:cnfStyle w:val="000000100000" w:firstRow="0" w:lastRow="0" w:firstColumn="0" w:lastColumn="0" w:oddVBand="0" w:evenVBand="0" w:oddHBand="1" w:evenHBand="0" w:firstRowFirstColumn="0" w:firstRowLastColumn="0" w:lastRowFirstColumn="0" w:lastRowLastColumn="0"/>
              <w:rPr>
                <w:b/>
                <w:sz w:val="17"/>
                <w:szCs w:val="17"/>
              </w:rPr>
            </w:pPr>
          </w:p>
        </w:tc>
      </w:tr>
      <w:tr w:rsidR="00972C0C" w:rsidRPr="00972C0C" w14:paraId="71C58B0F" w14:textId="77777777" w:rsidTr="008D5665">
        <w:tc>
          <w:tcPr>
            <w:cnfStyle w:val="001000000000" w:firstRow="0" w:lastRow="0" w:firstColumn="1" w:lastColumn="0" w:oddVBand="0" w:evenVBand="0" w:oddHBand="0" w:evenHBand="0" w:firstRowFirstColumn="0" w:firstRowLastColumn="0" w:lastRowFirstColumn="0" w:lastRowLastColumn="0"/>
            <w:tcW w:w="574" w:type="dxa"/>
          </w:tcPr>
          <w:p w14:paraId="7A75BE58" w14:textId="77777777" w:rsidR="0073607E" w:rsidRPr="00972C0C" w:rsidRDefault="0073607E" w:rsidP="008D5665">
            <w:pPr>
              <w:spacing w:before="60" w:after="60"/>
              <w:jc w:val="center"/>
            </w:pPr>
            <w:r w:rsidRPr="00972C0C">
              <w:t>10</w:t>
            </w:r>
          </w:p>
        </w:tc>
        <w:tc>
          <w:tcPr>
            <w:tcW w:w="8039" w:type="dxa"/>
          </w:tcPr>
          <w:p w14:paraId="12141D86" w14:textId="77777777" w:rsidR="0073607E" w:rsidRPr="00972C0C" w:rsidRDefault="0073607E" w:rsidP="008D5665">
            <w:pPr>
              <w:spacing w:before="60" w:after="60"/>
              <w:cnfStyle w:val="000000000000" w:firstRow="0" w:lastRow="0" w:firstColumn="0" w:lastColumn="0" w:oddVBand="0" w:evenVBand="0" w:oddHBand="0" w:evenHBand="0" w:firstRowFirstColumn="0" w:firstRowLastColumn="0" w:lastRowFirstColumn="0" w:lastRowLastColumn="0"/>
            </w:pPr>
            <w:r w:rsidRPr="00972C0C">
              <w:t>Performance of the procurement function is monitored and assessed on an ongoing basis to drive continuous improvement and accommodate any whole-of-government social procurement targets.</w:t>
            </w:r>
          </w:p>
        </w:tc>
        <w:tc>
          <w:tcPr>
            <w:tcW w:w="1066" w:type="dxa"/>
          </w:tcPr>
          <w:p w14:paraId="28BD525B"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020D3B23"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50A26B88"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6" w:type="dxa"/>
          </w:tcPr>
          <w:p w14:paraId="020414A2"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71983542"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c>
          <w:tcPr>
            <w:tcW w:w="1067" w:type="dxa"/>
          </w:tcPr>
          <w:p w14:paraId="77401DD6" w14:textId="77777777" w:rsidR="0073607E" w:rsidRPr="00972C0C" w:rsidRDefault="0073607E" w:rsidP="008D5665">
            <w:pPr>
              <w:spacing w:before="60" w:after="60"/>
              <w:jc w:val="center"/>
              <w:cnfStyle w:val="000000000000" w:firstRow="0" w:lastRow="0" w:firstColumn="0" w:lastColumn="0" w:oddVBand="0" w:evenVBand="0" w:oddHBand="0" w:evenHBand="0" w:firstRowFirstColumn="0" w:firstRowLastColumn="0" w:lastRowFirstColumn="0" w:lastRowLastColumn="0"/>
              <w:rPr>
                <w:b/>
                <w:sz w:val="17"/>
                <w:szCs w:val="17"/>
              </w:rPr>
            </w:pPr>
          </w:p>
        </w:tc>
      </w:tr>
    </w:tbl>
    <w:p w14:paraId="4274A314" w14:textId="77777777" w:rsidR="0073607E" w:rsidRPr="00972C0C" w:rsidRDefault="0073607E" w:rsidP="0073607E">
      <w:pPr>
        <w:rPr>
          <w:b/>
          <w:sz w:val="22"/>
          <w:szCs w:val="22"/>
        </w:rPr>
      </w:pPr>
      <w:r w:rsidRPr="00972C0C">
        <w:rPr>
          <w:b/>
          <w:sz w:val="22"/>
          <w:szCs w:val="22"/>
        </w:rPr>
        <w:t>PART B:</w:t>
      </w:r>
    </w:p>
    <w:tbl>
      <w:tblPr>
        <w:tblStyle w:val="LightList"/>
        <w:tblW w:w="14992" w:type="dxa"/>
        <w:tblBorders>
          <w:insideH w:val="single" w:sz="8" w:space="0" w:color="000000" w:themeColor="text1"/>
          <w:insideV w:val="single" w:sz="8" w:space="0" w:color="000000" w:themeColor="text1"/>
        </w:tblBorders>
        <w:tblLook w:val="04A0" w:firstRow="1" w:lastRow="0" w:firstColumn="1" w:lastColumn="0" w:noHBand="0" w:noVBand="1"/>
      </w:tblPr>
      <w:tblGrid>
        <w:gridCol w:w="14992"/>
      </w:tblGrid>
      <w:tr w:rsidR="00972C0C" w:rsidRPr="00972C0C" w14:paraId="30A3311A" w14:textId="77777777" w:rsidTr="00972C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shd w:val="clear" w:color="auto" w:fill="auto"/>
          </w:tcPr>
          <w:p w14:paraId="0FA10E03" w14:textId="77777777" w:rsidR="0073607E" w:rsidRPr="00972C0C" w:rsidRDefault="0073607E" w:rsidP="00972C0C">
            <w:pPr>
              <w:spacing w:before="60" w:after="60"/>
              <w:rPr>
                <w:color w:val="auto"/>
              </w:rPr>
            </w:pPr>
            <w:r w:rsidRPr="00972C0C">
              <w:rPr>
                <w:color w:val="auto"/>
              </w:rPr>
              <w:t>Progress statement (250 words max)</w:t>
            </w:r>
          </w:p>
        </w:tc>
      </w:tr>
      <w:tr w:rsidR="00972C0C" w:rsidRPr="00972C0C" w14:paraId="0F95C36A" w14:textId="77777777" w:rsidTr="008D56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2" w:type="dxa"/>
          </w:tcPr>
          <w:p w14:paraId="7F9F8C22" w14:textId="77777777" w:rsidR="0073607E" w:rsidRPr="00972C0C" w:rsidRDefault="0073607E" w:rsidP="008D5665">
            <w:pPr>
              <w:rPr>
                <w:b w:val="0"/>
                <w:sz w:val="22"/>
                <w:szCs w:val="22"/>
              </w:rPr>
            </w:pPr>
          </w:p>
          <w:p w14:paraId="26CFDE74" w14:textId="77777777" w:rsidR="0073607E" w:rsidRPr="00972C0C" w:rsidRDefault="0073607E" w:rsidP="008D5665">
            <w:pPr>
              <w:rPr>
                <w:b w:val="0"/>
                <w:sz w:val="22"/>
                <w:szCs w:val="22"/>
              </w:rPr>
            </w:pPr>
          </w:p>
        </w:tc>
      </w:tr>
    </w:tbl>
    <w:p w14:paraId="7F76609E" w14:textId="77777777" w:rsidR="0073607E" w:rsidRPr="00972C0C" w:rsidRDefault="0073607E" w:rsidP="0073607E"/>
    <w:p w14:paraId="7B65868E" w14:textId="1462C0B8" w:rsidR="0073607E" w:rsidRPr="00972C0C" w:rsidRDefault="0073607E" w:rsidP="0073607E">
      <w:pPr>
        <w:pStyle w:val="Heading3"/>
        <w:rPr>
          <w:rFonts w:asciiTheme="minorHAnsi" w:hAnsiTheme="minorHAnsi" w:cstheme="minorHAnsi"/>
          <w:color w:val="auto"/>
        </w:rPr>
      </w:pPr>
      <w:r w:rsidRPr="00972C0C">
        <w:rPr>
          <w:rFonts w:asciiTheme="minorHAnsi" w:hAnsiTheme="minorHAnsi" w:cstheme="minorHAnsi"/>
          <w:color w:val="auto"/>
        </w:rPr>
        <w:t>SIGNATURES:</w:t>
      </w:r>
    </w:p>
    <w:p w14:paraId="5C296B02" w14:textId="606EB5B4" w:rsidR="0073607E" w:rsidRPr="00972C0C" w:rsidRDefault="0073607E" w:rsidP="0073607E">
      <w:pPr>
        <w:rPr>
          <w:rFonts w:cstheme="minorHAnsi"/>
          <w:sz w:val="22"/>
          <w:szCs w:val="22"/>
        </w:rPr>
      </w:pPr>
      <w:r w:rsidRPr="00972C0C">
        <w:rPr>
          <w:rFonts w:cstheme="minorHAnsi"/>
          <w:b/>
          <w:sz w:val="22"/>
          <w:szCs w:val="22"/>
        </w:rPr>
        <w:t>Signed by assessor(s):</w:t>
      </w:r>
      <w:r w:rsidRPr="00972C0C">
        <w:rPr>
          <w:rFonts w:cstheme="minorHAnsi"/>
          <w:sz w:val="22"/>
          <w:szCs w:val="22"/>
        </w:rPr>
        <w:t xml:space="preserve">   </w:t>
      </w:r>
      <w:r w:rsidRPr="00972C0C">
        <w:rPr>
          <w:rFonts w:cstheme="minorHAnsi"/>
          <w:sz w:val="22"/>
          <w:szCs w:val="22"/>
        </w:rPr>
        <w:tab/>
      </w:r>
      <w:r w:rsidRPr="00972C0C">
        <w:rPr>
          <w:rFonts w:cstheme="minorHAnsi"/>
          <w:sz w:val="22"/>
          <w:szCs w:val="22"/>
        </w:rPr>
        <w:tab/>
      </w:r>
      <w:r w:rsidR="00972C0C">
        <w:rPr>
          <w:rFonts w:cstheme="minorHAnsi"/>
          <w:sz w:val="22"/>
          <w:szCs w:val="22"/>
        </w:rPr>
        <w:tab/>
      </w:r>
      <w:r w:rsidRPr="00972C0C">
        <w:rPr>
          <w:rFonts w:cstheme="minorHAnsi"/>
          <w:sz w:val="22"/>
          <w:szCs w:val="22"/>
        </w:rPr>
        <w:t>.....................................................  Date ........................</w:t>
      </w:r>
    </w:p>
    <w:p w14:paraId="7D218727" w14:textId="123DADC9" w:rsidR="0073607E" w:rsidRPr="00972C0C" w:rsidRDefault="0073607E" w:rsidP="0073607E">
      <w:pPr>
        <w:rPr>
          <w:rFonts w:cstheme="minorHAnsi"/>
          <w:sz w:val="22"/>
          <w:szCs w:val="22"/>
        </w:rPr>
      </w:pPr>
      <w:r w:rsidRPr="00972C0C">
        <w:rPr>
          <w:rFonts w:cstheme="minorHAnsi"/>
          <w:sz w:val="22"/>
          <w:szCs w:val="22"/>
        </w:rPr>
        <w:tab/>
      </w:r>
      <w:r w:rsidRPr="00972C0C">
        <w:rPr>
          <w:rFonts w:cstheme="minorHAnsi"/>
          <w:sz w:val="22"/>
          <w:szCs w:val="22"/>
        </w:rPr>
        <w:tab/>
      </w:r>
      <w:r w:rsidRPr="00972C0C">
        <w:rPr>
          <w:rFonts w:cstheme="minorHAnsi"/>
          <w:sz w:val="22"/>
          <w:szCs w:val="22"/>
        </w:rPr>
        <w:tab/>
      </w:r>
      <w:r w:rsidRPr="00972C0C">
        <w:rPr>
          <w:rFonts w:cstheme="minorHAnsi"/>
          <w:sz w:val="22"/>
          <w:szCs w:val="22"/>
        </w:rPr>
        <w:tab/>
      </w:r>
      <w:r w:rsidRPr="00972C0C">
        <w:rPr>
          <w:rFonts w:cstheme="minorHAnsi"/>
          <w:sz w:val="22"/>
          <w:szCs w:val="22"/>
        </w:rPr>
        <w:tab/>
      </w:r>
      <w:r w:rsidR="00972C0C">
        <w:rPr>
          <w:rFonts w:cstheme="minorHAnsi"/>
          <w:sz w:val="22"/>
          <w:szCs w:val="22"/>
        </w:rPr>
        <w:tab/>
      </w:r>
      <w:r w:rsidRPr="00972C0C">
        <w:rPr>
          <w:rFonts w:cstheme="minorHAnsi"/>
          <w:sz w:val="22"/>
          <w:szCs w:val="22"/>
        </w:rPr>
        <w:t>.....................................................  Date ........................</w:t>
      </w:r>
    </w:p>
    <w:p w14:paraId="0A4AD151" w14:textId="77777777" w:rsidR="0073607E" w:rsidRPr="00972C0C" w:rsidRDefault="0073607E" w:rsidP="0073607E">
      <w:pPr>
        <w:rPr>
          <w:rFonts w:cstheme="minorHAnsi"/>
          <w:sz w:val="22"/>
          <w:szCs w:val="22"/>
        </w:rPr>
      </w:pPr>
    </w:p>
    <w:p w14:paraId="734CC480" w14:textId="635CECE5" w:rsidR="0073607E" w:rsidRDefault="0073607E" w:rsidP="0073607E">
      <w:pPr>
        <w:rPr>
          <w:rFonts w:cstheme="minorHAnsi"/>
          <w:sz w:val="22"/>
          <w:szCs w:val="22"/>
        </w:rPr>
      </w:pPr>
      <w:r w:rsidRPr="00972C0C">
        <w:rPr>
          <w:rFonts w:cstheme="minorHAnsi"/>
          <w:b/>
          <w:sz w:val="22"/>
          <w:szCs w:val="22"/>
        </w:rPr>
        <w:t>Signed by Accountable Officer / delegate:</w:t>
      </w:r>
      <w:r w:rsidRPr="00972C0C">
        <w:rPr>
          <w:rFonts w:cstheme="minorHAnsi"/>
          <w:sz w:val="22"/>
          <w:szCs w:val="22"/>
        </w:rPr>
        <w:t xml:space="preserve">  </w:t>
      </w:r>
      <w:r w:rsidRPr="00972C0C">
        <w:rPr>
          <w:rFonts w:cstheme="minorHAnsi"/>
          <w:sz w:val="22"/>
          <w:szCs w:val="22"/>
        </w:rPr>
        <w:tab/>
        <w:t>.....................................................  Date ........................</w:t>
      </w:r>
    </w:p>
    <w:p w14:paraId="7232A6AC" w14:textId="77777777" w:rsidR="00156FD1" w:rsidRDefault="00156FD1" w:rsidP="00156FD1"/>
    <w:p w14:paraId="1E2AC158" w14:textId="77777777" w:rsidR="00156FD1" w:rsidRDefault="00156FD1" w:rsidP="00156FD1"/>
    <w:p w14:paraId="0D73627D" w14:textId="77777777" w:rsidR="00156FD1" w:rsidRDefault="00156FD1" w:rsidP="00156FD1"/>
    <w:p w14:paraId="0040F737" w14:textId="77777777" w:rsidR="00156FD1" w:rsidRDefault="00156FD1" w:rsidP="00156FD1"/>
    <w:p w14:paraId="7DE00D10" w14:textId="77777777" w:rsidR="00156FD1" w:rsidRDefault="00156FD1" w:rsidP="00156FD1"/>
    <w:p w14:paraId="2C77752B" w14:textId="77777777" w:rsidR="00156FD1" w:rsidRDefault="00156FD1" w:rsidP="00156FD1"/>
    <w:p w14:paraId="30276DD0" w14:textId="77777777" w:rsidR="00156FD1" w:rsidRDefault="00156FD1" w:rsidP="00156FD1"/>
    <w:p w14:paraId="3FCCEC86" w14:textId="77777777" w:rsidR="00156FD1" w:rsidRDefault="00156FD1" w:rsidP="00156FD1"/>
    <w:p w14:paraId="4CACA318" w14:textId="77777777" w:rsidR="00156FD1" w:rsidRDefault="00156FD1" w:rsidP="00156FD1"/>
    <w:p w14:paraId="28B9444B" w14:textId="77777777" w:rsidR="00156FD1" w:rsidRDefault="00156FD1" w:rsidP="00156FD1"/>
    <w:p w14:paraId="7DE89615" w14:textId="77777777" w:rsidR="00156FD1" w:rsidRDefault="00156FD1" w:rsidP="00156FD1"/>
    <w:p w14:paraId="50124913" w14:textId="77777777" w:rsidR="00156FD1" w:rsidRDefault="00156FD1" w:rsidP="00156FD1"/>
    <w:p w14:paraId="1CD37FCE" w14:textId="77777777" w:rsidR="00156FD1" w:rsidRDefault="00156FD1" w:rsidP="00156FD1"/>
    <w:p w14:paraId="7C5E8DB8" w14:textId="77777777" w:rsidR="00156FD1" w:rsidRDefault="00156FD1" w:rsidP="00156FD1"/>
    <w:p w14:paraId="24728B70" w14:textId="77777777" w:rsidR="00156FD1" w:rsidRDefault="00156FD1" w:rsidP="00156FD1"/>
    <w:p w14:paraId="3BFE068E" w14:textId="77777777" w:rsidR="00156FD1" w:rsidRDefault="00156FD1" w:rsidP="00156FD1"/>
    <w:p w14:paraId="32CE9583" w14:textId="6E36A8E4" w:rsidR="00156FD1" w:rsidRPr="00843160" w:rsidRDefault="00156FD1" w:rsidP="00156FD1">
      <w:r w:rsidRPr="00156FD1">
        <w:t>© State of Victoria 20</w:t>
      </w:r>
      <w:r w:rsidRPr="00156FD1">
        <w:t>18</w:t>
      </w:r>
      <w:r w:rsidRPr="00156FD1">
        <w:t xml:space="preserve"> (</w:t>
      </w:r>
      <w:r w:rsidRPr="00156FD1">
        <w:t>Department of treasury and Finance</w:t>
      </w:r>
      <w:r w:rsidRPr="00156FD1">
        <w:t>)</w:t>
      </w:r>
    </w:p>
    <w:p w14:paraId="3A4A9323" w14:textId="77777777" w:rsidR="00156FD1" w:rsidRPr="00843160" w:rsidRDefault="00156FD1" w:rsidP="00156FD1">
      <w:r w:rsidRPr="00843160">
        <w:rPr>
          <w:noProof/>
        </w:rPr>
        <w:drawing>
          <wp:inline distT="0" distB="0" distL="0" distR="0" wp14:anchorId="418B609B" wp14:editId="1B05F4C0">
            <wp:extent cx="1117460" cy="390972"/>
            <wp:effectExtent l="0" t="0" r="6985" b="9525"/>
            <wp:docPr id="3" name="Picture 3">
              <a:hlinkClick xmlns:a="http://schemas.openxmlformats.org/drawingml/2006/main" r:id="rId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59FB89AB" w14:textId="77777777" w:rsidR="00156FD1" w:rsidRPr="00843160" w:rsidRDefault="00156FD1" w:rsidP="00156FD1">
      <w:r w:rsidRPr="00843160">
        <w:t xml:space="preserve">This work is licensed under a </w:t>
      </w:r>
      <w:hyperlink r:id="rId18"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1DD4ACD" w14:textId="77777777" w:rsidR="00156FD1" w:rsidRPr="00337BFD" w:rsidRDefault="00156FD1" w:rsidP="00156FD1">
      <w:pPr>
        <w:rPr>
          <w:color w:val="660B68"/>
        </w:rPr>
      </w:pPr>
      <w:r w:rsidRPr="00843160">
        <w:t xml:space="preserve">Copyright queries may be directed to </w:t>
      </w:r>
      <w:hyperlink r:id="rId19" w:history="1">
        <w:r w:rsidRPr="00C551C4">
          <w:rPr>
            <w:rStyle w:val="Hyperlink"/>
          </w:rPr>
          <w:t>IPpolicy@dtf.vic.gov.au</w:t>
        </w:r>
      </w:hyperlink>
    </w:p>
    <w:p w14:paraId="7EF908AB" w14:textId="77777777" w:rsidR="00156FD1" w:rsidRPr="00972C0C" w:rsidRDefault="00156FD1" w:rsidP="0073607E">
      <w:pPr>
        <w:rPr>
          <w:rFonts w:cstheme="minorHAnsi"/>
          <w:sz w:val="22"/>
          <w:szCs w:val="22"/>
        </w:rPr>
      </w:pPr>
    </w:p>
    <w:sectPr w:rsidR="00156FD1" w:rsidRPr="00972C0C" w:rsidSect="00972C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855C" w14:textId="77777777" w:rsidR="00156FD1" w:rsidRDefault="00156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73AB" w14:textId="67382131" w:rsidR="00F75B12" w:rsidRDefault="00156FD1">
    <w:pPr>
      <w:pStyle w:val="Footer"/>
    </w:pPr>
    <w:r>
      <w:rPr>
        <w:noProof/>
      </w:rPr>
      <mc:AlternateContent>
        <mc:Choice Requires="wps">
          <w:drawing>
            <wp:anchor distT="0" distB="0" distL="114300" distR="114300" simplePos="0" relativeHeight="251665408" behindDoc="0" locked="0" layoutInCell="0" allowOverlap="1" wp14:anchorId="6F5E3648" wp14:editId="5B693304">
              <wp:simplePos x="0" y="0"/>
              <wp:positionH relativeFrom="page">
                <wp:align>left</wp:align>
              </wp:positionH>
              <wp:positionV relativeFrom="page">
                <wp:align>bottom</wp:align>
              </wp:positionV>
              <wp:extent cx="7772400" cy="463550"/>
              <wp:effectExtent l="0" t="0" r="0" b="12700"/>
              <wp:wrapNone/>
              <wp:docPr id="4" name="MSIPCMdff3480082df7ed05134085d"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36605" w14:textId="3E371CB5"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F5E3648" id="_x0000_t202" coordsize="21600,21600" o:spt="202" path="m,l,21600r21600,l21600,xe">
              <v:stroke joinstyle="miter"/>
              <v:path gradientshapeok="t" o:connecttype="rect"/>
            </v:shapetype>
            <v:shape id="MSIPCMdff3480082df7ed05134085d"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bEqoPq4CAABSBQAADgAAAAAAAAAA&#10;AAAAAAAuAgAAZHJzL2Uyb0RvYy54bWxQSwECLQAUAAYACAAAACEA/vWNm9oAAAAFAQAADwAAAAAA&#10;AAAAAAAAAAAIBQAAZHJzL2Rvd25yZXYueG1sUEsFBgAAAAAEAAQA8wAAAA8GAAAAAA==&#10;" o:allowincell="f" filled="f" stroked="f" strokeweight=".5pt">
              <v:fill o:detectmouseclick="t"/>
              <v:textbox inset="20pt,0,,0">
                <w:txbxContent>
                  <w:p w14:paraId="07636605" w14:textId="3E371CB5"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FE10" w14:textId="2D301E33" w:rsidR="00CD69E9" w:rsidRPr="003A70DC" w:rsidRDefault="00156FD1" w:rsidP="008D5665">
    <w:pPr>
      <w:pStyle w:val="Footer"/>
    </w:pPr>
    <w:r>
      <w:rPr>
        <w:noProof/>
      </w:rPr>
      <mc:AlternateContent>
        <mc:Choice Requires="wps">
          <w:drawing>
            <wp:anchor distT="0" distB="0" distL="114300" distR="114300" simplePos="0" relativeHeight="251666432" behindDoc="0" locked="0" layoutInCell="0" allowOverlap="1" wp14:anchorId="2A0356E2" wp14:editId="66676B9C">
              <wp:simplePos x="0" y="0"/>
              <wp:positionH relativeFrom="page">
                <wp:align>left</wp:align>
              </wp:positionH>
              <wp:positionV relativeFrom="page">
                <wp:align>bottom</wp:align>
              </wp:positionV>
              <wp:extent cx="7772400" cy="463550"/>
              <wp:effectExtent l="0" t="0" r="0" b="12700"/>
              <wp:wrapNone/>
              <wp:docPr id="5" name="MSIPCM54b94f1bb942b72b160a1e22"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591EC" w14:textId="4975FFDE"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A0356E2" id="_x0000_t202" coordsize="21600,21600" o:spt="202" path="m,l,21600r21600,l21600,xe">
              <v:stroke joinstyle="miter"/>
              <v:path gradientshapeok="t" o:connecttype="rect"/>
            </v:shapetype>
            <v:shape id="MSIPCM54b94f1bb942b72b160a1e22" o:spid="_x0000_s1027" type="#_x0000_t202" alt="{&quot;HashCode&quot;:-1267603503,&quot;Height&quot;:9999999.0,&quot;Width&quot;:9999999.0,&quot;Placement&quot;:&quot;Footer&quot;,&quot;Index&quot;:&quot;FirstPage&quot;,&quot;Section&quot;:1,&quot;Top&quot;:0.0,&quot;Left&quot;:0.0}" style="position:absolute;margin-left:0;margin-top:0;width:612pt;height:36.5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A/onZnswIAAFsFAAAOAAAA&#10;AAAAAAAAAAAAAC4CAABkcnMvZTJvRG9jLnhtbFBLAQItABQABgAIAAAAIQD+9Y2b2gAAAAUBAAAP&#10;AAAAAAAAAAAAAAAAAA0FAABkcnMvZG93bnJldi54bWxQSwUGAAAAAAQABADzAAAAFAYAAAAA&#10;" o:allowincell="f" filled="f" stroked="f" strokeweight=".5pt">
              <v:fill o:detectmouseclick="t"/>
              <v:textbox inset="20pt,0,,0">
                <w:txbxContent>
                  <w:p w14:paraId="0D6591EC" w14:textId="4975FFDE" w:rsidR="00156FD1" w:rsidRPr="00156FD1" w:rsidRDefault="00156FD1" w:rsidP="00156FD1">
                    <w:pPr>
                      <w:spacing w:before="0" w:after="0"/>
                      <w:rPr>
                        <w:rFonts w:ascii="Calibri" w:hAnsi="Calibri" w:cs="Calibri"/>
                        <w:color w:val="000000"/>
                        <w:sz w:val="22"/>
                      </w:rPr>
                    </w:pPr>
                    <w:r w:rsidRPr="00156FD1">
                      <w:rPr>
                        <w:rFonts w:ascii="Calibri" w:hAnsi="Calibri" w:cs="Calibri"/>
                        <w:color w:val="000000"/>
                        <w:sz w:val="22"/>
                      </w:rPr>
                      <w:t>OFFICIAL</w:t>
                    </w:r>
                  </w:p>
                </w:txbxContent>
              </v:textbox>
              <w10:wrap anchorx="page" anchory="page"/>
            </v:shape>
          </w:pict>
        </mc:Fallback>
      </mc:AlternateContent>
    </w:r>
    <w:r w:rsidR="00972C0C">
      <w:t>Social Procurement Self-assessment Template</w:t>
    </w:r>
    <w:r w:rsidR="00972C0C">
      <w:tab/>
    </w:r>
    <w:sdt>
      <w:sdtPr>
        <w:id w:val="-2026619730"/>
        <w:docPartObj>
          <w:docPartGallery w:val="Page Numbers (Top of Page)"/>
          <w:docPartUnique/>
        </w:docPartObj>
      </w:sdtPr>
      <w:sdtEndPr/>
      <w:sdtContent>
        <w:r w:rsidR="00972C0C">
          <w:tab/>
          <w:t xml:space="preserve">Page </w:t>
        </w:r>
        <w:r w:rsidR="00972C0C">
          <w:rPr>
            <w:b/>
            <w:bCs/>
            <w:sz w:val="24"/>
            <w:szCs w:val="24"/>
          </w:rPr>
          <w:fldChar w:fldCharType="begin"/>
        </w:r>
        <w:r w:rsidR="00972C0C">
          <w:rPr>
            <w:b/>
            <w:bCs/>
          </w:rPr>
          <w:instrText xml:space="preserve"> PAGE </w:instrText>
        </w:r>
        <w:r w:rsidR="00972C0C">
          <w:rPr>
            <w:b/>
            <w:bCs/>
            <w:sz w:val="24"/>
            <w:szCs w:val="24"/>
          </w:rPr>
          <w:fldChar w:fldCharType="separate"/>
        </w:r>
        <w:r w:rsidR="00972C0C">
          <w:rPr>
            <w:b/>
            <w:bCs/>
            <w:sz w:val="24"/>
            <w:szCs w:val="24"/>
          </w:rPr>
          <w:t>1</w:t>
        </w:r>
        <w:r w:rsidR="00972C0C">
          <w:rPr>
            <w:b/>
            <w:bCs/>
            <w:sz w:val="24"/>
            <w:szCs w:val="24"/>
          </w:rPr>
          <w:fldChar w:fldCharType="end"/>
        </w:r>
        <w:r w:rsidR="00972C0C">
          <w:t xml:space="preserve"> of </w:t>
        </w:r>
        <w:r w:rsidR="00972C0C">
          <w:rPr>
            <w:b/>
            <w:bCs/>
            <w:sz w:val="24"/>
            <w:szCs w:val="24"/>
          </w:rPr>
          <w:fldChar w:fldCharType="begin"/>
        </w:r>
        <w:r w:rsidR="00972C0C">
          <w:rPr>
            <w:b/>
            <w:bCs/>
          </w:rPr>
          <w:instrText xml:space="preserve"> NUMPAGES  </w:instrText>
        </w:r>
        <w:r w:rsidR="00972C0C">
          <w:rPr>
            <w:b/>
            <w:bCs/>
            <w:sz w:val="24"/>
            <w:szCs w:val="24"/>
          </w:rPr>
          <w:fldChar w:fldCharType="separate"/>
        </w:r>
        <w:r w:rsidR="00972C0C">
          <w:rPr>
            <w:b/>
            <w:bCs/>
            <w:sz w:val="24"/>
            <w:szCs w:val="24"/>
          </w:rPr>
          <w:t>5</w:t>
        </w:r>
        <w:r w:rsidR="00972C0C">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A585" w14:textId="77777777" w:rsidR="00156FD1" w:rsidRDefault="00156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3C18" w14:textId="77777777" w:rsidR="00156FD1" w:rsidRDefault="00156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DC0E" w14:textId="722488A4" w:rsidR="00CD69E9" w:rsidRDefault="00972C0C" w:rsidP="00972C0C">
    <w:pPr>
      <w:pStyle w:val="Header"/>
      <w:jc w:val="right"/>
    </w:pPr>
    <w: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0"/>
  </w:num>
  <w:num w:numId="12">
    <w:abstractNumId w:val="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813F4"/>
    <w:rsid w:val="0008693F"/>
    <w:rsid w:val="00117CD2"/>
    <w:rsid w:val="001252B8"/>
    <w:rsid w:val="00127B7A"/>
    <w:rsid w:val="00156FD1"/>
    <w:rsid w:val="00174192"/>
    <w:rsid w:val="00177FA7"/>
    <w:rsid w:val="001A671C"/>
    <w:rsid w:val="001C1724"/>
    <w:rsid w:val="001C779D"/>
    <w:rsid w:val="00202188"/>
    <w:rsid w:val="00312069"/>
    <w:rsid w:val="00313604"/>
    <w:rsid w:val="003460A8"/>
    <w:rsid w:val="0035527B"/>
    <w:rsid w:val="003B0304"/>
    <w:rsid w:val="003B4C07"/>
    <w:rsid w:val="00404852"/>
    <w:rsid w:val="004052A2"/>
    <w:rsid w:val="00465CA5"/>
    <w:rsid w:val="005D1DE9"/>
    <w:rsid w:val="005E33F3"/>
    <w:rsid w:val="005F114A"/>
    <w:rsid w:val="00614446"/>
    <w:rsid w:val="00686C0A"/>
    <w:rsid w:val="006A3599"/>
    <w:rsid w:val="006D6E78"/>
    <w:rsid w:val="006E602E"/>
    <w:rsid w:val="006F51EF"/>
    <w:rsid w:val="0073607E"/>
    <w:rsid w:val="0074559B"/>
    <w:rsid w:val="00757E5D"/>
    <w:rsid w:val="00775086"/>
    <w:rsid w:val="007D4DEC"/>
    <w:rsid w:val="00816921"/>
    <w:rsid w:val="0083725E"/>
    <w:rsid w:val="008D5665"/>
    <w:rsid w:val="00930C1D"/>
    <w:rsid w:val="009408FF"/>
    <w:rsid w:val="00966F17"/>
    <w:rsid w:val="00972C0C"/>
    <w:rsid w:val="0098715D"/>
    <w:rsid w:val="00992C94"/>
    <w:rsid w:val="009933D2"/>
    <w:rsid w:val="009C17F5"/>
    <w:rsid w:val="009E3813"/>
    <w:rsid w:val="00A30928"/>
    <w:rsid w:val="00A3245D"/>
    <w:rsid w:val="00A419AA"/>
    <w:rsid w:val="00A60B96"/>
    <w:rsid w:val="00A73300"/>
    <w:rsid w:val="00A96589"/>
    <w:rsid w:val="00AC42CE"/>
    <w:rsid w:val="00B40719"/>
    <w:rsid w:val="00B43D4C"/>
    <w:rsid w:val="00B50758"/>
    <w:rsid w:val="00B92D03"/>
    <w:rsid w:val="00BB07F4"/>
    <w:rsid w:val="00C13481"/>
    <w:rsid w:val="00C35016"/>
    <w:rsid w:val="00C364CF"/>
    <w:rsid w:val="00C53DFC"/>
    <w:rsid w:val="00C84D2E"/>
    <w:rsid w:val="00CC7655"/>
    <w:rsid w:val="00CD69E9"/>
    <w:rsid w:val="00CF250F"/>
    <w:rsid w:val="00E213D5"/>
    <w:rsid w:val="00E32A43"/>
    <w:rsid w:val="00E62D19"/>
    <w:rsid w:val="00EB03FB"/>
    <w:rsid w:val="00EB724A"/>
    <w:rsid w:val="00F069C1"/>
    <w:rsid w:val="00F27BF1"/>
    <w:rsid w:val="00F74455"/>
    <w:rsid w:val="00F75B12"/>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reativecommons.org/licenses/by/4.0/"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yperlink" Target="https://buyingfor.vic.gov.au/capability-goods-and-services-procurement-gui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F9011C5-CB73-4DE9-9202-FDAD6298E78E}">
  <ds:schemaRefs>
    <ds:schemaRef ds:uri="http://schemas.openxmlformats.org/officeDocument/2006/bibliography"/>
  </ds:schemaRefs>
</ds:datastoreItem>
</file>

<file path=customXml/itemProps2.xml><?xml version="1.0" encoding="utf-8"?>
<ds:datastoreItem xmlns:ds="http://schemas.openxmlformats.org/officeDocument/2006/customXml" ds:itemID="{0AD507D2-67C4-4A07-870F-57236148E5A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957</Words>
  <Characters>6196</Characters>
  <Application>Microsoft Office Word</Application>
  <DocSecurity>0</DocSecurity>
  <Lines>112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Athena Rozenberg (DTF)</cp:lastModifiedBy>
  <cp:revision>2</cp:revision>
  <dcterms:created xsi:type="dcterms:W3CDTF">2022-05-24T14:06:00Z</dcterms:created>
  <dcterms:modified xsi:type="dcterms:W3CDTF">2022-05-24T14:06:00Z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2022-05-24T14:06:14Z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55b33ba8-dc36-4efa-8055-ffb6472729f7</vt:lpwstr>
  </property>
  <property fmtid="{D5CDD505-2E9C-101B-9397-08002B2CF9AE}" pid="8" name="MSIP_Label_7158ebbd-6c5e-441f-bfc9-4eb8c11e3978_ContentBits">
    <vt:lpwstr>2</vt:lpwstr>
  </property>
</Properties>
</file>