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FF4E" w14:textId="77777777" w:rsidR="00CB4E50" w:rsidRPr="00F93BF6" w:rsidRDefault="00082807" w:rsidP="00F93BF6">
      <w:pPr>
        <w:pStyle w:val="Heading1"/>
        <w:rPr>
          <w:b/>
          <w:color w:val="7030A0"/>
          <w:sz w:val="36"/>
          <w:szCs w:val="36"/>
        </w:rPr>
      </w:pPr>
      <w:r w:rsidRPr="00F93BF6">
        <w:rPr>
          <w:b/>
          <w:color w:val="7030A0"/>
          <w:sz w:val="36"/>
          <w:szCs w:val="36"/>
        </w:rPr>
        <w:t xml:space="preserve">Market approach </w:t>
      </w:r>
      <w:r w:rsidR="00304E7F" w:rsidRPr="00F93BF6">
        <w:rPr>
          <w:b/>
          <w:color w:val="7030A0"/>
          <w:sz w:val="36"/>
          <w:szCs w:val="36"/>
        </w:rPr>
        <w:t xml:space="preserve">– </w:t>
      </w:r>
      <w:r w:rsidR="00F93BF6">
        <w:rPr>
          <w:b/>
          <w:color w:val="7030A0"/>
          <w:sz w:val="36"/>
          <w:szCs w:val="36"/>
        </w:rPr>
        <w:br/>
        <w:t xml:space="preserve">Goods and services </w:t>
      </w:r>
      <w:r w:rsidR="00304E7F" w:rsidRPr="00F93BF6">
        <w:rPr>
          <w:b/>
          <w:color w:val="7030A0"/>
          <w:sz w:val="36"/>
          <w:szCs w:val="36"/>
        </w:rPr>
        <w:t>procurement guide</w:t>
      </w:r>
    </w:p>
    <w:p w14:paraId="29071054" w14:textId="77777777" w:rsidR="00082807" w:rsidRPr="00F93BF6" w:rsidRDefault="00082807" w:rsidP="00F93BF6">
      <w:pPr>
        <w:pStyle w:val="Heading2"/>
        <w:rPr>
          <w:color w:val="7030A0"/>
        </w:rPr>
      </w:pPr>
      <w:r w:rsidRPr="00F93BF6">
        <w:rPr>
          <w:color w:val="7030A0"/>
        </w:rPr>
        <w:t>What is market approach?</w:t>
      </w:r>
    </w:p>
    <w:p w14:paraId="0F0A3AD0" w14:textId="77777777" w:rsidR="00082807" w:rsidRDefault="00082807" w:rsidP="00082807">
      <w:bookmarkStart w:id="0" w:name="_Hlk108772615"/>
      <w:r>
        <w:t>Market approach is how you choose to interact with the market. It can involve extensive consultation and sharing of information. It requires a structured approach that satisfies probity and fairness standards.</w:t>
      </w:r>
    </w:p>
    <w:bookmarkEnd w:id="0"/>
    <w:p w14:paraId="167EFE4E" w14:textId="77777777" w:rsidR="00082807" w:rsidRDefault="00082807" w:rsidP="00082807">
      <w:r>
        <w:t>How you approach the market is primarily based on the assessment of complexity and the market analysis and review stage of the procurement process.</w:t>
      </w:r>
      <w:r w:rsidR="00F93BF6">
        <w:t xml:space="preserve">  the following table describes the stages of sourcing affected by market approach.</w:t>
      </w:r>
    </w:p>
    <w:tbl>
      <w:tblPr>
        <w:tblStyle w:val="TableGrid"/>
        <w:tblW w:w="0" w:type="auto"/>
        <w:tblLook w:val="04A0" w:firstRow="1" w:lastRow="0" w:firstColumn="1" w:lastColumn="0" w:noHBand="0" w:noVBand="1"/>
      </w:tblPr>
      <w:tblGrid>
        <w:gridCol w:w="3005"/>
        <w:gridCol w:w="3005"/>
        <w:gridCol w:w="3006"/>
      </w:tblGrid>
      <w:tr w:rsidR="00F93BF6" w14:paraId="3C670640" w14:textId="77777777" w:rsidTr="003D7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0EEA76B" w14:textId="77777777" w:rsidR="00F93BF6" w:rsidRDefault="00F93BF6" w:rsidP="00426DBD">
            <w:pPr>
              <w:spacing w:before="60" w:after="60"/>
              <w:rPr>
                <w:rFonts w:cstheme="minorHAnsi"/>
              </w:rPr>
            </w:pPr>
            <w:r>
              <w:rPr>
                <w:rFonts w:cstheme="minorHAnsi"/>
              </w:rPr>
              <w:t>Phase in procurement process</w:t>
            </w:r>
          </w:p>
        </w:tc>
        <w:tc>
          <w:tcPr>
            <w:tcW w:w="3005" w:type="dxa"/>
          </w:tcPr>
          <w:p w14:paraId="7E99665F" w14:textId="77777777" w:rsidR="00F93BF6" w:rsidRDefault="00F93BF6" w:rsidP="00426DBD">
            <w:pPr>
              <w:spacing w:before="60" w:after="6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Stage in procurement process</w:t>
            </w:r>
          </w:p>
        </w:tc>
        <w:tc>
          <w:tcPr>
            <w:tcW w:w="3006" w:type="dxa"/>
          </w:tcPr>
          <w:p w14:paraId="5DF934AF" w14:textId="77777777" w:rsidR="00F93BF6" w:rsidRDefault="00F93BF6" w:rsidP="00426DBD">
            <w:pPr>
              <w:spacing w:before="60" w:after="6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Market approach activity</w:t>
            </w:r>
          </w:p>
        </w:tc>
      </w:tr>
      <w:tr w:rsidR="00F93BF6" w14:paraId="1096854D" w14:textId="77777777" w:rsidTr="003D7DCC">
        <w:tc>
          <w:tcPr>
            <w:cnfStyle w:val="001000000000" w:firstRow="0" w:lastRow="0" w:firstColumn="1" w:lastColumn="0" w:oddVBand="0" w:evenVBand="0" w:oddHBand="0" w:evenHBand="0" w:firstRowFirstColumn="0" w:firstRowLastColumn="0" w:lastRowFirstColumn="0" w:lastRowLastColumn="0"/>
            <w:tcW w:w="3005" w:type="dxa"/>
          </w:tcPr>
          <w:p w14:paraId="57679592" w14:textId="77777777" w:rsidR="00F93BF6" w:rsidRDefault="00F93BF6" w:rsidP="00426DBD">
            <w:pPr>
              <w:spacing w:before="60" w:after="60"/>
              <w:rPr>
                <w:rFonts w:cstheme="minorHAnsi"/>
              </w:rPr>
            </w:pPr>
            <w:r>
              <w:rPr>
                <w:rFonts w:cstheme="minorHAnsi"/>
              </w:rPr>
              <w:t>Sourcing phase</w:t>
            </w:r>
          </w:p>
        </w:tc>
        <w:tc>
          <w:tcPr>
            <w:tcW w:w="3005" w:type="dxa"/>
          </w:tcPr>
          <w:p w14:paraId="3BE1F774"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Review procurement requirement</w:t>
            </w:r>
          </w:p>
        </w:tc>
        <w:tc>
          <w:tcPr>
            <w:tcW w:w="3006" w:type="dxa"/>
          </w:tcPr>
          <w:p w14:paraId="66DEE8D1"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Specification and market analysis</w:t>
            </w:r>
          </w:p>
        </w:tc>
      </w:tr>
      <w:tr w:rsidR="00F93BF6" w14:paraId="7D446A00"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984999C" w14:textId="77777777" w:rsidR="00F93BF6" w:rsidRDefault="00F93BF6" w:rsidP="00426DBD">
            <w:pPr>
              <w:spacing w:before="60" w:after="60"/>
              <w:rPr>
                <w:rFonts w:cstheme="minorHAnsi"/>
              </w:rPr>
            </w:pPr>
            <w:r>
              <w:rPr>
                <w:rFonts w:cstheme="minorHAnsi"/>
              </w:rPr>
              <w:t>Sourcing phase</w:t>
            </w:r>
          </w:p>
        </w:tc>
        <w:tc>
          <w:tcPr>
            <w:tcW w:w="3005" w:type="dxa"/>
          </w:tcPr>
          <w:p w14:paraId="6F05F02D"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Conduct market analysis</w:t>
            </w:r>
          </w:p>
        </w:tc>
        <w:tc>
          <w:tcPr>
            <w:tcW w:w="3006" w:type="dxa"/>
          </w:tcPr>
          <w:p w14:paraId="51DBEDF3"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Specification and market analysis</w:t>
            </w:r>
          </w:p>
        </w:tc>
      </w:tr>
      <w:tr w:rsidR="00F93BF6" w14:paraId="39F8ED70" w14:textId="77777777" w:rsidTr="003D7DCC">
        <w:tc>
          <w:tcPr>
            <w:cnfStyle w:val="001000000000" w:firstRow="0" w:lastRow="0" w:firstColumn="1" w:lastColumn="0" w:oddVBand="0" w:evenVBand="0" w:oddHBand="0" w:evenHBand="0" w:firstRowFirstColumn="0" w:firstRowLastColumn="0" w:lastRowFirstColumn="0" w:lastRowLastColumn="0"/>
            <w:tcW w:w="3005" w:type="dxa"/>
          </w:tcPr>
          <w:p w14:paraId="44A38354" w14:textId="77777777" w:rsidR="00F93BF6" w:rsidRDefault="00F93BF6" w:rsidP="00426DBD">
            <w:pPr>
              <w:spacing w:before="60" w:after="60"/>
              <w:rPr>
                <w:rFonts w:cstheme="minorHAnsi"/>
              </w:rPr>
            </w:pPr>
            <w:r>
              <w:rPr>
                <w:rFonts w:cstheme="minorHAnsi"/>
              </w:rPr>
              <w:t>Sourcing phase</w:t>
            </w:r>
          </w:p>
        </w:tc>
        <w:tc>
          <w:tcPr>
            <w:tcW w:w="3005" w:type="dxa"/>
          </w:tcPr>
          <w:p w14:paraId="4FF1F4C6"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Develop plan for market approach</w:t>
            </w:r>
          </w:p>
        </w:tc>
        <w:tc>
          <w:tcPr>
            <w:tcW w:w="3006" w:type="dxa"/>
          </w:tcPr>
          <w:p w14:paraId="10481FCE"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Market approach</w:t>
            </w:r>
          </w:p>
        </w:tc>
      </w:tr>
      <w:tr w:rsidR="00F93BF6" w14:paraId="3A9C89FA"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DB9C618" w14:textId="77777777" w:rsidR="00F93BF6" w:rsidRDefault="00F93BF6" w:rsidP="00426DBD">
            <w:pPr>
              <w:spacing w:before="60" w:after="60"/>
              <w:rPr>
                <w:rFonts w:cstheme="minorHAnsi"/>
              </w:rPr>
            </w:pPr>
            <w:r>
              <w:rPr>
                <w:rFonts w:cstheme="minorHAnsi"/>
              </w:rPr>
              <w:t>Sourcing phase</w:t>
            </w:r>
          </w:p>
        </w:tc>
        <w:tc>
          <w:tcPr>
            <w:tcW w:w="3005" w:type="dxa"/>
          </w:tcPr>
          <w:p w14:paraId="7AF1497A"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Evaluate negotiate and select supplier</w:t>
            </w:r>
          </w:p>
        </w:tc>
        <w:tc>
          <w:tcPr>
            <w:tcW w:w="3006" w:type="dxa"/>
          </w:tcPr>
          <w:p w14:paraId="159CC775"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Evaluation negotiation and selection</w:t>
            </w:r>
          </w:p>
        </w:tc>
      </w:tr>
      <w:tr w:rsidR="00F93BF6" w14:paraId="626F2560" w14:textId="77777777" w:rsidTr="003D7DCC">
        <w:tc>
          <w:tcPr>
            <w:cnfStyle w:val="001000000000" w:firstRow="0" w:lastRow="0" w:firstColumn="1" w:lastColumn="0" w:oddVBand="0" w:evenVBand="0" w:oddHBand="0" w:evenHBand="0" w:firstRowFirstColumn="0" w:firstRowLastColumn="0" w:lastRowFirstColumn="0" w:lastRowLastColumn="0"/>
            <w:tcW w:w="3005" w:type="dxa"/>
          </w:tcPr>
          <w:p w14:paraId="226617AF" w14:textId="77777777" w:rsidR="00F93BF6" w:rsidRDefault="00F93BF6" w:rsidP="00426DBD">
            <w:pPr>
              <w:spacing w:before="60" w:after="60"/>
              <w:rPr>
                <w:rFonts w:cstheme="minorHAnsi"/>
              </w:rPr>
            </w:pPr>
            <w:r>
              <w:rPr>
                <w:rFonts w:cstheme="minorHAnsi"/>
              </w:rPr>
              <w:t>Contract management phase</w:t>
            </w:r>
          </w:p>
        </w:tc>
        <w:tc>
          <w:tcPr>
            <w:tcW w:w="3005" w:type="dxa"/>
          </w:tcPr>
          <w:p w14:paraId="41A76293"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Create a contract</w:t>
            </w:r>
          </w:p>
        </w:tc>
        <w:tc>
          <w:tcPr>
            <w:tcW w:w="3006" w:type="dxa"/>
          </w:tcPr>
          <w:p w14:paraId="4D7D7E9D"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Contract management</w:t>
            </w:r>
          </w:p>
        </w:tc>
      </w:tr>
      <w:tr w:rsidR="00F93BF6" w14:paraId="7D265831"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5CF9B3A2" w14:textId="77777777" w:rsidR="00F93BF6" w:rsidRDefault="00F93BF6" w:rsidP="00426DBD">
            <w:pPr>
              <w:spacing w:before="60" w:after="60"/>
              <w:rPr>
                <w:rFonts w:cstheme="minorHAnsi"/>
              </w:rPr>
            </w:pPr>
            <w:r>
              <w:rPr>
                <w:rFonts w:cstheme="minorHAnsi"/>
              </w:rPr>
              <w:t>Contract management phase</w:t>
            </w:r>
          </w:p>
        </w:tc>
        <w:tc>
          <w:tcPr>
            <w:tcW w:w="3005" w:type="dxa"/>
          </w:tcPr>
          <w:p w14:paraId="726D2CEF"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Commit to a contract</w:t>
            </w:r>
          </w:p>
        </w:tc>
        <w:tc>
          <w:tcPr>
            <w:tcW w:w="3006" w:type="dxa"/>
          </w:tcPr>
          <w:p w14:paraId="6161B9EB"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Contract management</w:t>
            </w:r>
          </w:p>
        </w:tc>
      </w:tr>
      <w:tr w:rsidR="00F93BF6" w14:paraId="37EA1720" w14:textId="77777777" w:rsidTr="003D7DCC">
        <w:tc>
          <w:tcPr>
            <w:cnfStyle w:val="001000000000" w:firstRow="0" w:lastRow="0" w:firstColumn="1" w:lastColumn="0" w:oddVBand="0" w:evenVBand="0" w:oddHBand="0" w:evenHBand="0" w:firstRowFirstColumn="0" w:firstRowLastColumn="0" w:lastRowFirstColumn="0" w:lastRowLastColumn="0"/>
            <w:tcW w:w="3005" w:type="dxa"/>
          </w:tcPr>
          <w:p w14:paraId="43123840" w14:textId="77777777" w:rsidR="00F93BF6" w:rsidRDefault="00F93BF6" w:rsidP="00426DBD">
            <w:pPr>
              <w:spacing w:before="60" w:after="60"/>
              <w:rPr>
                <w:rFonts w:cstheme="minorHAnsi"/>
              </w:rPr>
            </w:pPr>
            <w:r>
              <w:rPr>
                <w:rFonts w:cstheme="minorHAnsi"/>
              </w:rPr>
              <w:t>Contract management phase</w:t>
            </w:r>
          </w:p>
        </w:tc>
        <w:tc>
          <w:tcPr>
            <w:tcW w:w="3005" w:type="dxa"/>
          </w:tcPr>
          <w:p w14:paraId="2D04D12F"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Manage contract</w:t>
            </w:r>
          </w:p>
        </w:tc>
        <w:tc>
          <w:tcPr>
            <w:tcW w:w="3006" w:type="dxa"/>
          </w:tcPr>
          <w:p w14:paraId="2CD9BB10" w14:textId="77777777" w:rsidR="00F93BF6" w:rsidRDefault="00F93BF6" w:rsidP="00426DBD">
            <w:pPr>
              <w:spacing w:before="60" w:after="6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Contract management</w:t>
            </w:r>
          </w:p>
        </w:tc>
      </w:tr>
      <w:tr w:rsidR="00F93BF6" w14:paraId="2E616C53"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85F6F3" w14:textId="77777777" w:rsidR="00F93BF6" w:rsidRDefault="00F93BF6" w:rsidP="00426DBD">
            <w:pPr>
              <w:spacing w:before="60" w:after="60"/>
              <w:rPr>
                <w:rFonts w:cstheme="minorHAnsi"/>
              </w:rPr>
            </w:pPr>
            <w:r>
              <w:rPr>
                <w:rFonts w:cstheme="minorHAnsi"/>
              </w:rPr>
              <w:t>Contract management phase</w:t>
            </w:r>
          </w:p>
        </w:tc>
        <w:tc>
          <w:tcPr>
            <w:tcW w:w="3005" w:type="dxa"/>
          </w:tcPr>
          <w:p w14:paraId="705F9753"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Contract review or closure</w:t>
            </w:r>
          </w:p>
        </w:tc>
        <w:tc>
          <w:tcPr>
            <w:tcW w:w="3006" w:type="dxa"/>
          </w:tcPr>
          <w:p w14:paraId="1E3D3D32" w14:textId="77777777" w:rsidR="00F93BF6" w:rsidRDefault="00F93BF6" w:rsidP="00426DBD">
            <w:pPr>
              <w:spacing w:before="60" w:after="6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Contract management</w:t>
            </w:r>
          </w:p>
        </w:tc>
      </w:tr>
    </w:tbl>
    <w:p w14:paraId="6A8578BA" w14:textId="77777777" w:rsidR="00F93BF6" w:rsidRDefault="00F93BF6" w:rsidP="00F93BF6">
      <w:r>
        <w:t>N</w:t>
      </w:r>
      <w:r w:rsidR="00F64504" w:rsidRPr="00F93BF6">
        <w:t>ote</w:t>
      </w:r>
      <w:r w:rsidR="00F64504" w:rsidRPr="00395B75">
        <w:t xml:space="preserve">: </w:t>
      </w:r>
      <w:r w:rsidR="00F64504">
        <w:t>There are a range of market approaches e.g. quotation, tender, registers, expression of interest, etc.  An invitation to supply falls into two broad areas:</w:t>
      </w:r>
    </w:p>
    <w:p w14:paraId="1D7569D7" w14:textId="77777777" w:rsidR="00F93BF6" w:rsidRDefault="00AE4AF0" w:rsidP="00F93BF6">
      <w:pPr>
        <w:pStyle w:val="ListParagraph"/>
        <w:numPr>
          <w:ilvl w:val="0"/>
          <w:numId w:val="34"/>
        </w:numPr>
      </w:pPr>
      <w:r w:rsidRPr="00F93BF6">
        <w:t xml:space="preserve">Open </w:t>
      </w:r>
      <w:r>
        <w:t>– Invitation to all potential parties</w:t>
      </w:r>
    </w:p>
    <w:p w14:paraId="3C6A10A8" w14:textId="77777777" w:rsidR="00F64504" w:rsidRDefault="00AE4AF0" w:rsidP="00F93BF6">
      <w:pPr>
        <w:pStyle w:val="ListParagraph"/>
        <w:numPr>
          <w:ilvl w:val="0"/>
          <w:numId w:val="34"/>
        </w:numPr>
      </w:pPr>
      <w:r w:rsidRPr="00F93BF6">
        <w:t xml:space="preserve">Limited </w:t>
      </w:r>
      <w:r>
        <w:t>– Invitation to nominated/ selected parties.</w:t>
      </w:r>
    </w:p>
    <w:p w14:paraId="4C0DD5AC" w14:textId="77777777" w:rsidR="0059054F" w:rsidRPr="0059054F" w:rsidRDefault="00317C4B" w:rsidP="0059054F">
      <w:pPr>
        <w:pStyle w:val="Heading2"/>
        <w:rPr>
          <w:color w:val="7030A0"/>
        </w:rPr>
      </w:pPr>
      <w:hyperlink r:id="rId9" w:history="1">
        <w:r w:rsidR="0059054F" w:rsidRPr="0059054F">
          <w:rPr>
            <w:color w:val="7030A0"/>
          </w:rPr>
          <w:t>Procurement Activity Plan</w:t>
        </w:r>
      </w:hyperlink>
    </w:p>
    <w:p w14:paraId="49CAFCC1" w14:textId="643ACB5D" w:rsidR="0059054F" w:rsidRDefault="0059054F" w:rsidP="0059054F">
      <w:r>
        <w:rPr>
          <w:sz w:val="20"/>
          <w:szCs w:val="20"/>
          <w:lang w:eastAsia="en-US"/>
        </w:rPr>
        <w:t xml:space="preserve">All organisations are required to publish a procurement activity plan.  </w:t>
      </w:r>
      <w:r w:rsidRPr="009159F9">
        <w:rPr>
          <w:sz w:val="20"/>
          <w:szCs w:val="20"/>
          <w:lang w:eastAsia="en-US"/>
        </w:rPr>
        <w:t>A procurement activity plan outlines an organisation’s anticipated procurement activity, over 12 to 24 months</w:t>
      </w:r>
      <w:r>
        <w:rPr>
          <w:sz w:val="20"/>
          <w:szCs w:val="20"/>
        </w:rPr>
        <w:t>.  This is a</w:t>
      </w:r>
      <w:r w:rsidRPr="006F234C">
        <w:rPr>
          <w:sz w:val="20"/>
          <w:szCs w:val="20"/>
        </w:rPr>
        <w:t xml:space="preserve"> core component of an organisation’s procurement strategy. Refer to the VGPB’s </w:t>
      </w:r>
      <w:hyperlink r:id="rId10" w:anchor="governance-policy" w:history="1">
        <w:r w:rsidRPr="00A468C5">
          <w:rPr>
            <w:rStyle w:val="Hyperlink"/>
            <w:sz w:val="20"/>
            <w:szCs w:val="20"/>
          </w:rPr>
          <w:t>Governance policy</w:t>
        </w:r>
      </w:hyperlink>
      <w:r w:rsidRPr="00426DBD">
        <w:rPr>
          <w:sz w:val="20"/>
          <w:szCs w:val="20"/>
        </w:rPr>
        <w:t xml:space="preserve"> for more information</w:t>
      </w:r>
      <w:r w:rsidRPr="006F234C">
        <w:rPr>
          <w:sz w:val="20"/>
          <w:szCs w:val="20"/>
        </w:rPr>
        <w:t>.</w:t>
      </w:r>
    </w:p>
    <w:p w14:paraId="0B4F46B7" w14:textId="77777777" w:rsidR="0059054F" w:rsidRPr="00426DBD" w:rsidRDefault="0059054F" w:rsidP="0059054F">
      <w:pPr>
        <w:pStyle w:val="Heading2"/>
        <w:rPr>
          <w:color w:val="7030A0"/>
        </w:rPr>
      </w:pPr>
      <w:r w:rsidRPr="00426DBD">
        <w:rPr>
          <w:color w:val="7030A0"/>
        </w:rPr>
        <w:t>Market approach protocols</w:t>
      </w:r>
    </w:p>
    <w:p w14:paraId="7B58A2B5" w14:textId="77777777" w:rsidR="008B4764" w:rsidRDefault="008B4764" w:rsidP="008B4764">
      <w:r>
        <w:t xml:space="preserve">When approaching the market, consider the following factors: </w:t>
      </w:r>
    </w:p>
    <w:p w14:paraId="1266FDDB" w14:textId="77777777" w:rsidR="00517A94" w:rsidRPr="00426DBD" w:rsidRDefault="008B4764" w:rsidP="00426DBD">
      <w:pPr>
        <w:pStyle w:val="Heading3"/>
        <w:rPr>
          <w:color w:val="7030A0"/>
        </w:rPr>
      </w:pPr>
      <w:r w:rsidRPr="00426DBD">
        <w:rPr>
          <w:color w:val="7030A0"/>
        </w:rPr>
        <w:t>Minimising the cost for suppliers in preparing a submission</w:t>
      </w:r>
    </w:p>
    <w:p w14:paraId="14257707" w14:textId="77777777" w:rsidR="008B4764" w:rsidRDefault="008B4764" w:rsidP="008B4764">
      <w:r>
        <w:t>Preparing a submission is a cost to suppliers.</w:t>
      </w:r>
    </w:p>
    <w:p w14:paraId="7C54116B" w14:textId="77777777" w:rsidR="008B4764" w:rsidRPr="00426DBD" w:rsidRDefault="003C2DF3" w:rsidP="00426DBD">
      <w:r w:rsidRPr="00426DBD">
        <w:t>Considerations</w:t>
      </w:r>
    </w:p>
    <w:p w14:paraId="402D39D2" w14:textId="77777777" w:rsidR="008B4764" w:rsidRDefault="008B4764" w:rsidP="00426DBD">
      <w:pPr>
        <w:pStyle w:val="ListParagraph"/>
        <w:numPr>
          <w:ilvl w:val="0"/>
          <w:numId w:val="35"/>
        </w:numPr>
        <w:jc w:val="both"/>
      </w:pPr>
      <w:r>
        <w:t>Use quotation processes wherever appropriate. Adopt simplified processes, terms and conditions relevant to the market sector, early market notification and briefing sessions where appropriate.</w:t>
      </w:r>
    </w:p>
    <w:p w14:paraId="2210022F" w14:textId="77777777" w:rsidR="005558AF" w:rsidRDefault="005558AF" w:rsidP="005558AF">
      <w:pPr>
        <w:pStyle w:val="Spacer"/>
      </w:pPr>
    </w:p>
    <w:p w14:paraId="5B309732" w14:textId="77777777" w:rsidR="008B4764" w:rsidRPr="00426DBD" w:rsidRDefault="008B4764" w:rsidP="00426DBD">
      <w:pPr>
        <w:pStyle w:val="Heading3"/>
        <w:rPr>
          <w:color w:val="7030A0"/>
        </w:rPr>
      </w:pPr>
      <w:r w:rsidRPr="00426DBD">
        <w:rPr>
          <w:color w:val="7030A0"/>
        </w:rPr>
        <w:lastRenderedPageBreak/>
        <w:t xml:space="preserve">Using familiar and consistent processes </w:t>
      </w:r>
    </w:p>
    <w:p w14:paraId="722535FF" w14:textId="77777777" w:rsidR="008B4764" w:rsidRDefault="008B4764" w:rsidP="008B4764">
      <w:r>
        <w:t>Familiarity of process will encourage supplier participation in the procurement process, reduce costs for both parties and manage the risk to the organisation</w:t>
      </w:r>
      <w:r w:rsidR="00F71016">
        <w:t xml:space="preserve">. </w:t>
      </w:r>
    </w:p>
    <w:p w14:paraId="189579DD" w14:textId="77777777" w:rsidR="003C2DF3" w:rsidRDefault="003C2DF3" w:rsidP="00426DBD">
      <w:r>
        <w:t>Considerations</w:t>
      </w:r>
    </w:p>
    <w:p w14:paraId="3970E170" w14:textId="77777777" w:rsidR="008B4764" w:rsidRDefault="008B4764" w:rsidP="00426DBD">
      <w:pPr>
        <w:pStyle w:val="ListParagraph"/>
        <w:numPr>
          <w:ilvl w:val="0"/>
          <w:numId w:val="35"/>
        </w:numPr>
      </w:pPr>
      <w:r>
        <w:t>Maximising use of standard forms, templates, conditions for participation and contract requirements where appropriate.</w:t>
      </w:r>
    </w:p>
    <w:p w14:paraId="3A854A79" w14:textId="77777777" w:rsidR="00523241" w:rsidRPr="00426DBD" w:rsidRDefault="00523241" w:rsidP="00426DBD">
      <w:pPr>
        <w:pStyle w:val="Heading3"/>
        <w:rPr>
          <w:color w:val="7030A0"/>
        </w:rPr>
      </w:pPr>
      <w:r w:rsidRPr="00426DBD">
        <w:rPr>
          <w:color w:val="7030A0"/>
        </w:rPr>
        <w:t xml:space="preserve">Local Jobs First </w:t>
      </w:r>
      <w:r w:rsidR="00D44821" w:rsidRPr="00426DBD">
        <w:rPr>
          <w:color w:val="7030A0"/>
        </w:rPr>
        <w:t>Policy (LJF) –</w:t>
      </w:r>
      <w:r w:rsidRPr="00426DBD">
        <w:rPr>
          <w:color w:val="7030A0"/>
        </w:rPr>
        <w:t xml:space="preserve"> </w:t>
      </w:r>
      <w:r w:rsidR="00D44821" w:rsidRPr="00426DBD">
        <w:rPr>
          <w:color w:val="7030A0"/>
        </w:rPr>
        <w:t>Under the Local Jobs First Act 2003</w:t>
      </w:r>
    </w:p>
    <w:p w14:paraId="2686D40F" w14:textId="7FE7F990" w:rsidR="00523241" w:rsidRDefault="00317C4B" w:rsidP="00523241">
      <w:pPr>
        <w:rPr>
          <w:lang w:eastAsia="en-US"/>
        </w:rPr>
      </w:pPr>
      <w:hyperlink r:id="rId11" w:history="1">
        <w:r w:rsidR="00C26280" w:rsidRPr="00A468C5">
          <w:rPr>
            <w:rStyle w:val="Hyperlink"/>
            <w:lang w:eastAsia="en-US"/>
          </w:rPr>
          <w:t>Local Jobs First</w:t>
        </w:r>
      </w:hyperlink>
      <w:r w:rsidR="00C26280">
        <w:rPr>
          <w:lang w:eastAsia="en-US"/>
        </w:rPr>
        <w:t xml:space="preserve"> </w:t>
      </w:r>
      <w:r w:rsidR="00E00C30">
        <w:rPr>
          <w:lang w:eastAsia="en-US"/>
        </w:rPr>
        <w:t>comprises the Victorian Industry Participation Policy (VIPP) and the Major Project</w:t>
      </w:r>
      <w:r w:rsidR="00D33C0E">
        <w:rPr>
          <w:lang w:eastAsia="en-US"/>
        </w:rPr>
        <w:t>s</w:t>
      </w:r>
      <w:r w:rsidR="00E00C30">
        <w:rPr>
          <w:lang w:eastAsia="en-US"/>
        </w:rPr>
        <w:t xml:space="preserve"> Skills Guarantee (MPSG)</w:t>
      </w:r>
      <w:r w:rsidR="00562CE4">
        <w:rPr>
          <w:lang w:eastAsia="en-US"/>
        </w:rPr>
        <w:t xml:space="preserve">. </w:t>
      </w:r>
      <w:r w:rsidR="008A2886">
        <w:rPr>
          <w:lang w:eastAsia="en-US"/>
        </w:rPr>
        <w:t>(</w:t>
      </w:r>
      <w:r w:rsidR="00562CE4">
        <w:rPr>
          <w:lang w:eastAsia="en-US"/>
        </w:rPr>
        <w:t>LJF -</w:t>
      </w:r>
      <w:r w:rsidR="004C561F">
        <w:rPr>
          <w:lang w:eastAsia="en-US"/>
        </w:rPr>
        <w:t xml:space="preserve"> </w:t>
      </w:r>
      <w:r w:rsidR="00684BDD">
        <w:rPr>
          <w:lang w:eastAsia="en-US"/>
        </w:rPr>
        <w:t xml:space="preserve">MPSG </w:t>
      </w:r>
      <w:r w:rsidR="004C561F">
        <w:rPr>
          <w:lang w:eastAsia="en-US"/>
        </w:rPr>
        <w:t xml:space="preserve">is </w:t>
      </w:r>
      <w:r w:rsidR="00562CE4">
        <w:rPr>
          <w:lang w:eastAsia="en-US"/>
        </w:rPr>
        <w:t xml:space="preserve">applicable to </w:t>
      </w:r>
      <w:r w:rsidR="004C561F">
        <w:rPr>
          <w:lang w:eastAsia="en-US"/>
        </w:rPr>
        <w:t>construction procurement projects</w:t>
      </w:r>
      <w:r w:rsidR="00562CE4">
        <w:rPr>
          <w:lang w:eastAsia="en-US"/>
        </w:rPr>
        <w:t xml:space="preserve"> therefore is not included in this guide</w:t>
      </w:r>
      <w:r w:rsidR="008A2886">
        <w:rPr>
          <w:lang w:eastAsia="en-US"/>
        </w:rPr>
        <w:t>)</w:t>
      </w:r>
      <w:r w:rsidR="004C561F">
        <w:rPr>
          <w:lang w:eastAsia="en-US"/>
        </w:rPr>
        <w:t>. LJF</w:t>
      </w:r>
      <w:r w:rsidR="00684BDD">
        <w:rPr>
          <w:lang w:eastAsia="en-US"/>
        </w:rPr>
        <w:t xml:space="preserve"> </w:t>
      </w:r>
      <w:r w:rsidR="00523241">
        <w:rPr>
          <w:lang w:eastAsia="en-US"/>
        </w:rPr>
        <w:t xml:space="preserve">ensures that </w:t>
      </w:r>
      <w:r w:rsidR="00672FCE">
        <w:rPr>
          <w:lang w:eastAsia="en-US"/>
        </w:rPr>
        <w:t>Au</w:t>
      </w:r>
      <w:r w:rsidR="00445F33">
        <w:rPr>
          <w:lang w:eastAsia="en-US"/>
        </w:rPr>
        <w:t>stralia</w:t>
      </w:r>
      <w:r w:rsidR="00672FCE">
        <w:rPr>
          <w:lang w:eastAsia="en-US"/>
        </w:rPr>
        <w:t xml:space="preserve"> and New Zealand </w:t>
      </w:r>
      <w:r w:rsidR="00523241">
        <w:rPr>
          <w:lang w:eastAsia="en-US"/>
        </w:rPr>
        <w:t xml:space="preserve">small </w:t>
      </w:r>
      <w:r w:rsidR="0041390A">
        <w:rPr>
          <w:lang w:eastAsia="en-US"/>
        </w:rPr>
        <w:t xml:space="preserve">to </w:t>
      </w:r>
      <w:r w:rsidR="00523241">
        <w:rPr>
          <w:lang w:eastAsia="en-US"/>
        </w:rPr>
        <w:t xml:space="preserve">medium size enterprises (SMEs) are given a full and fair opportunity to compete for </w:t>
      </w:r>
      <w:r w:rsidR="004C561F">
        <w:rPr>
          <w:lang w:eastAsia="en-US"/>
        </w:rPr>
        <w:t xml:space="preserve">both large and small </w:t>
      </w:r>
      <w:r w:rsidR="00523241">
        <w:rPr>
          <w:lang w:eastAsia="en-US"/>
        </w:rPr>
        <w:t xml:space="preserve">government contracts, </w:t>
      </w:r>
      <w:r w:rsidR="004C561F">
        <w:rPr>
          <w:lang w:eastAsia="en-US"/>
        </w:rPr>
        <w:t xml:space="preserve">helping to create job opportunities, including apprentices, trainees and cadets, </w:t>
      </w:r>
      <w:r w:rsidR="00523241">
        <w:rPr>
          <w:lang w:eastAsia="en-US"/>
        </w:rPr>
        <w:t>while still achieving value for money.</w:t>
      </w:r>
    </w:p>
    <w:p w14:paraId="1D81FD99" w14:textId="77777777" w:rsidR="00523241" w:rsidRDefault="00562CE4" w:rsidP="00523241">
      <w:pPr>
        <w:rPr>
          <w:lang w:eastAsia="en-US"/>
        </w:rPr>
      </w:pPr>
      <w:r w:rsidRPr="008D64D2">
        <w:rPr>
          <w:lang w:eastAsia="en-US"/>
        </w:rPr>
        <w:t xml:space="preserve">LJF </w:t>
      </w:r>
      <w:r w:rsidR="00523241">
        <w:rPr>
          <w:lang w:eastAsia="en-US"/>
        </w:rPr>
        <w:t xml:space="preserve">requires </w:t>
      </w:r>
      <w:r w:rsidR="00672FCE">
        <w:rPr>
          <w:lang w:eastAsia="en-US"/>
        </w:rPr>
        <w:t xml:space="preserve">all </w:t>
      </w:r>
      <w:r w:rsidR="00523241">
        <w:rPr>
          <w:lang w:eastAsia="en-US"/>
        </w:rPr>
        <w:t>government</w:t>
      </w:r>
      <w:r w:rsidR="00EB3004">
        <w:rPr>
          <w:lang w:eastAsia="en-US"/>
        </w:rPr>
        <w:t xml:space="preserve"> </w:t>
      </w:r>
      <w:r w:rsidR="00523241">
        <w:rPr>
          <w:lang w:eastAsia="en-US"/>
        </w:rPr>
        <w:t>departments and agencies to consider competitive SMEs, when awarding contracts valued at:</w:t>
      </w:r>
    </w:p>
    <w:p w14:paraId="1EEA8843" w14:textId="77777777" w:rsidR="00523241" w:rsidRDefault="00523241" w:rsidP="00523241">
      <w:pPr>
        <w:pStyle w:val="ListParagraph"/>
        <w:numPr>
          <w:ilvl w:val="0"/>
          <w:numId w:val="28"/>
        </w:numPr>
        <w:rPr>
          <w:lang w:eastAsia="en-US"/>
        </w:rPr>
      </w:pPr>
      <w:r>
        <w:rPr>
          <w:lang w:eastAsia="en-US"/>
        </w:rPr>
        <w:t>$1 million or more in regional Victoria, or</w:t>
      </w:r>
    </w:p>
    <w:p w14:paraId="267A363A" w14:textId="77777777" w:rsidR="00523241" w:rsidRDefault="00523241" w:rsidP="00523241">
      <w:pPr>
        <w:pStyle w:val="ListParagraph"/>
        <w:numPr>
          <w:ilvl w:val="0"/>
          <w:numId w:val="28"/>
        </w:numPr>
        <w:rPr>
          <w:lang w:eastAsia="en-US"/>
        </w:rPr>
      </w:pPr>
      <w:r>
        <w:rPr>
          <w:lang w:eastAsia="en-US"/>
        </w:rPr>
        <w:t>$3 million or more in metropolitan Melbourne or for state-wide activities</w:t>
      </w:r>
    </w:p>
    <w:p w14:paraId="397F1847" w14:textId="33ED59AD" w:rsidR="00523241" w:rsidRPr="0059054F" w:rsidRDefault="00562CE4" w:rsidP="00523241">
      <w:r w:rsidRPr="0059054F">
        <w:rPr>
          <w:lang w:eastAsia="en-US"/>
        </w:rPr>
        <w:t xml:space="preserve">Projects that meet the above thresholds are classified as standard projects. In addition, LJF </w:t>
      </w:r>
      <w:r w:rsidR="00523241" w:rsidRPr="0059054F">
        <w:rPr>
          <w:lang w:eastAsia="en-US"/>
        </w:rPr>
        <w:t>gives particular attention to Strategic Projects, which are government procurements valued at $50 million or more</w:t>
      </w:r>
      <w:r w:rsidR="007E4213" w:rsidRPr="0059054F">
        <w:rPr>
          <w:lang w:eastAsia="en-US"/>
        </w:rPr>
        <w:t xml:space="preserve">, </w:t>
      </w:r>
      <w:r w:rsidR="00523241" w:rsidRPr="0059054F">
        <w:rPr>
          <w:lang w:eastAsia="en-US"/>
        </w:rPr>
        <w:t>or as otherwise agreed as strategic by government.</w:t>
      </w:r>
    </w:p>
    <w:p w14:paraId="4DA6DD16" w14:textId="77777777" w:rsidR="008B4764" w:rsidRPr="00BA08AB" w:rsidRDefault="008B4764" w:rsidP="00BA08AB">
      <w:pPr>
        <w:pStyle w:val="Heading3"/>
        <w:rPr>
          <w:color w:val="7030A0"/>
        </w:rPr>
      </w:pPr>
      <w:r w:rsidRPr="00BA08AB">
        <w:rPr>
          <w:color w:val="7030A0"/>
        </w:rPr>
        <w:t>Maximising participation from small to medium enterprises</w:t>
      </w:r>
    </w:p>
    <w:p w14:paraId="157C8324" w14:textId="77777777" w:rsidR="008B4764" w:rsidRDefault="00672FCE" w:rsidP="008B4764">
      <w:r>
        <w:t>Australia and New Zealand s</w:t>
      </w:r>
      <w:r w:rsidR="008B4764">
        <w:t>mall to medium enterprises (SMEs) are an important market sector. They can drive innovation and often offer leading</w:t>
      </w:r>
      <w:r w:rsidR="00F71016">
        <w:noBreakHyphen/>
      </w:r>
      <w:r w:rsidR="008B4764">
        <w:t>edge technology solutions, high levels of service and value</w:t>
      </w:r>
      <w:r w:rsidR="00F71016">
        <w:noBreakHyphen/>
      </w:r>
      <w:r w:rsidR="008B4764">
        <w:t>for</w:t>
      </w:r>
      <w:r w:rsidR="00F71016">
        <w:noBreakHyphen/>
      </w:r>
      <w:r w:rsidR="008B4764">
        <w:t>money outcomes</w:t>
      </w:r>
      <w:r w:rsidR="00F71016">
        <w:t xml:space="preserve">. </w:t>
      </w:r>
    </w:p>
    <w:p w14:paraId="64BFB000" w14:textId="77777777" w:rsidR="003C2DF3" w:rsidRDefault="003C2DF3" w:rsidP="00BA08AB">
      <w:r>
        <w:t>Considerations</w:t>
      </w:r>
    </w:p>
    <w:p w14:paraId="28CFEB7C" w14:textId="77777777" w:rsidR="008B4764" w:rsidRDefault="008B4764" w:rsidP="009B4772">
      <w:pPr>
        <w:pStyle w:val="Bullet1"/>
        <w:numPr>
          <w:ilvl w:val="0"/>
          <w:numId w:val="23"/>
        </w:numPr>
      </w:pPr>
      <w:r>
        <w:t>Structure procurement requirements in a way that is relevant and familiar to the SME market sector, and where appropriate, not</w:t>
      </w:r>
      <w:r w:rsidR="00F71016">
        <w:noBreakHyphen/>
      </w:r>
      <w:r>
        <w:t>for</w:t>
      </w:r>
      <w:r w:rsidR="00F71016">
        <w:noBreakHyphen/>
      </w:r>
      <w:r>
        <w:t>profit (NFP) businesses.</w:t>
      </w:r>
    </w:p>
    <w:p w14:paraId="4B89B4B6" w14:textId="77777777" w:rsidR="008B4764" w:rsidRDefault="008B4764" w:rsidP="009B4772">
      <w:pPr>
        <w:pStyle w:val="Bullet1"/>
        <w:numPr>
          <w:ilvl w:val="0"/>
          <w:numId w:val="23"/>
        </w:numPr>
      </w:pPr>
      <w:r>
        <w:t xml:space="preserve">Identify SME relevant components within larger procurement requirements to allow for discrete supply opportunities. </w:t>
      </w:r>
    </w:p>
    <w:p w14:paraId="7CE67A96" w14:textId="77777777" w:rsidR="008B4764" w:rsidRDefault="008B4764" w:rsidP="009B4772">
      <w:pPr>
        <w:pStyle w:val="Bullet1"/>
        <w:numPr>
          <w:ilvl w:val="0"/>
          <w:numId w:val="23"/>
        </w:numPr>
      </w:pPr>
      <w:r>
        <w:t xml:space="preserve">Make the most of other government initiatives such as </w:t>
      </w:r>
      <w:r w:rsidR="0043290E">
        <w:t>State purchase contracts</w:t>
      </w:r>
      <w:r>
        <w:t>, eTender box, etc. to reduce the cost of preparing a submission</w:t>
      </w:r>
      <w:r w:rsidR="00F71016">
        <w:t xml:space="preserve">. </w:t>
      </w:r>
    </w:p>
    <w:p w14:paraId="30F9CFD8" w14:textId="77777777" w:rsidR="008B4764" w:rsidRDefault="008B4764" w:rsidP="009B4772">
      <w:pPr>
        <w:pStyle w:val="Bullet1"/>
        <w:numPr>
          <w:ilvl w:val="0"/>
          <w:numId w:val="23"/>
        </w:numPr>
      </w:pPr>
      <w:r>
        <w:t xml:space="preserve">Investigate the supply chain arrangements operated by a principal contractor. </w:t>
      </w:r>
    </w:p>
    <w:p w14:paraId="7AA754FA" w14:textId="77777777" w:rsidR="008B4764" w:rsidRDefault="008B4764" w:rsidP="009B4772">
      <w:pPr>
        <w:pStyle w:val="Bullet1"/>
        <w:numPr>
          <w:ilvl w:val="0"/>
          <w:numId w:val="23"/>
        </w:numPr>
      </w:pPr>
      <w:r>
        <w:t xml:space="preserve">Access the services of the Industry Capability Network (ICN), Business Victoria (BV) and industry associations to identify potential </w:t>
      </w:r>
      <w:r w:rsidR="00445F33">
        <w:t>Australia</w:t>
      </w:r>
      <w:r w:rsidR="00672FCE">
        <w:t xml:space="preserve"> and New Zealand SMEs</w:t>
      </w:r>
      <w:r>
        <w:t>.</w:t>
      </w:r>
    </w:p>
    <w:p w14:paraId="0073EDEA" w14:textId="5B1D3A16" w:rsidR="008B4764" w:rsidRPr="001905BD" w:rsidRDefault="008B4764" w:rsidP="00672FCE">
      <w:pPr>
        <w:pStyle w:val="Bullet1"/>
        <w:numPr>
          <w:ilvl w:val="0"/>
          <w:numId w:val="23"/>
        </w:numPr>
        <w:rPr>
          <w:rStyle w:val="Hyperlink"/>
          <w:color w:val="auto"/>
        </w:rPr>
      </w:pPr>
      <w:r>
        <w:t xml:space="preserve">Applying </w:t>
      </w:r>
      <w:r w:rsidR="004537C6">
        <w:t xml:space="preserve">Local Jobs First </w:t>
      </w:r>
      <w:r>
        <w:t>where relevant.</w:t>
      </w:r>
    </w:p>
    <w:p w14:paraId="7A7ADD7B" w14:textId="77777777" w:rsidR="00672FCE" w:rsidRDefault="00672FCE" w:rsidP="00672FCE">
      <w:pPr>
        <w:pStyle w:val="Bullet1"/>
        <w:numPr>
          <w:ilvl w:val="0"/>
          <w:numId w:val="23"/>
        </w:numPr>
      </w:pPr>
      <w:r w:rsidRPr="006F0756">
        <w:rPr>
          <w:rStyle w:val="Hyperlink"/>
          <w:color w:val="auto"/>
        </w:rPr>
        <w:t>Assess social procurement objectives</w:t>
      </w:r>
      <w:r>
        <w:rPr>
          <w:rStyle w:val="Hyperlink"/>
        </w:rPr>
        <w:t>.</w:t>
      </w:r>
    </w:p>
    <w:p w14:paraId="168B1B1C" w14:textId="77777777" w:rsidR="008B4764" w:rsidRPr="00C26280" w:rsidRDefault="008B4764" w:rsidP="00C26280">
      <w:pPr>
        <w:pStyle w:val="Heading3"/>
        <w:rPr>
          <w:color w:val="7030A0"/>
        </w:rPr>
      </w:pPr>
      <w:r w:rsidRPr="00C26280">
        <w:rPr>
          <w:color w:val="7030A0"/>
        </w:rPr>
        <w:t>Market research and process integrity</w:t>
      </w:r>
    </w:p>
    <w:p w14:paraId="719BB817" w14:textId="491A6EC1" w:rsidR="008B4764" w:rsidRDefault="008B4764" w:rsidP="008B4764">
      <w:r>
        <w:t>If you engage a supplier to conduct market research in developing project requirements/specifications, or to design a prototype or conduct a trial, ensure that the supplier is not given an unfair advantage over other suppliers should the research propose market testing.</w:t>
      </w:r>
    </w:p>
    <w:p w14:paraId="7DF25006" w14:textId="77777777" w:rsidR="003C2DF3" w:rsidRDefault="003C2DF3" w:rsidP="00C26280">
      <w:r>
        <w:t>Considerations</w:t>
      </w:r>
    </w:p>
    <w:p w14:paraId="53F4F82E" w14:textId="77777777" w:rsidR="008B4764" w:rsidRDefault="008B4764" w:rsidP="009B4772">
      <w:pPr>
        <w:pStyle w:val="Bullet1"/>
        <w:tabs>
          <w:tab w:val="clear" w:pos="360"/>
          <w:tab w:val="num" w:pos="709"/>
        </w:tabs>
        <w:ind w:left="709"/>
      </w:pPr>
      <w:r>
        <w:t>Fully disclose market research information, supplier briefing sessions and define requirements in generic terms to mitigate ‘insider knowledge’.</w:t>
      </w:r>
    </w:p>
    <w:p w14:paraId="2ECB2711" w14:textId="77777777" w:rsidR="008B4764" w:rsidRPr="00C26280" w:rsidRDefault="008B4764" w:rsidP="00C26280">
      <w:pPr>
        <w:pStyle w:val="Heading3"/>
        <w:rPr>
          <w:color w:val="7030A0"/>
        </w:rPr>
      </w:pPr>
      <w:r w:rsidRPr="00C26280">
        <w:rPr>
          <w:color w:val="7030A0"/>
        </w:rPr>
        <w:lastRenderedPageBreak/>
        <w:t>Eliminating bias when engaging with the market</w:t>
      </w:r>
    </w:p>
    <w:p w14:paraId="42A68A6C" w14:textId="77777777" w:rsidR="008B4764" w:rsidRDefault="008B4764" w:rsidP="008B4764">
      <w:r>
        <w:t xml:space="preserve">Specifying </w:t>
      </w:r>
      <w:r w:rsidR="00957A0D">
        <w:t>technical</w:t>
      </w:r>
      <w:r>
        <w:t xml:space="preserve"> standards, trade/product names or conditions for participation may eliminate suppliers in the market to the detriment of value</w:t>
      </w:r>
      <w:r w:rsidR="00F71016">
        <w:noBreakHyphen/>
      </w:r>
      <w:r>
        <w:t>for</w:t>
      </w:r>
      <w:r w:rsidR="00F71016">
        <w:noBreakHyphen/>
      </w:r>
      <w:r>
        <w:t>money outcomes</w:t>
      </w:r>
      <w:r w:rsidR="00F71016">
        <w:t xml:space="preserve">. </w:t>
      </w:r>
      <w:r w:rsidR="0095321F">
        <w:t>An overly cumbersome or costly procurement process can discourage supplier participation.</w:t>
      </w:r>
    </w:p>
    <w:p w14:paraId="0A192382" w14:textId="77777777" w:rsidR="003C2DF3" w:rsidRDefault="003C2DF3" w:rsidP="00C26280">
      <w:r>
        <w:t>Considerations</w:t>
      </w:r>
    </w:p>
    <w:p w14:paraId="0173F6A4" w14:textId="77777777" w:rsidR="008B4764" w:rsidRDefault="008B4764" w:rsidP="009B4772">
      <w:pPr>
        <w:pStyle w:val="Bullet2"/>
        <w:numPr>
          <w:ilvl w:val="1"/>
          <w:numId w:val="22"/>
        </w:numPr>
      </w:pPr>
      <w:r>
        <w:t xml:space="preserve">Adopt processes that do not create </w:t>
      </w:r>
      <w:r w:rsidR="00523241">
        <w:t xml:space="preserve">unnecessary barriers </w:t>
      </w:r>
      <w:r>
        <w:t xml:space="preserve">to participation for a market sector or suppliers relevant to the procurement requirement. </w:t>
      </w:r>
    </w:p>
    <w:p w14:paraId="58C99ED5" w14:textId="77777777" w:rsidR="008B4764" w:rsidRDefault="008B4764" w:rsidP="009B4772">
      <w:pPr>
        <w:pStyle w:val="Bullet2"/>
        <w:numPr>
          <w:ilvl w:val="1"/>
          <w:numId w:val="22"/>
        </w:numPr>
      </w:pPr>
      <w:r>
        <w:t xml:space="preserve">Ensure that technical specifications are detailed in terms of performance and functional requirements wherever possible rather than referring to model, trade name, patent, copyright, design, model or from a specific producer. </w:t>
      </w:r>
    </w:p>
    <w:p w14:paraId="49DF467E" w14:textId="77777777" w:rsidR="008B4764" w:rsidRDefault="008B4764" w:rsidP="009B4772">
      <w:pPr>
        <w:pStyle w:val="Bullet2"/>
        <w:numPr>
          <w:ilvl w:val="1"/>
          <w:numId w:val="22"/>
        </w:numPr>
      </w:pPr>
      <w:r>
        <w:t>Use the term ‘or equivalent’ to enable alternative responses to a specified technical requirement.</w:t>
      </w:r>
    </w:p>
    <w:p w14:paraId="3D943042" w14:textId="29F0E17E" w:rsidR="008B4764" w:rsidRDefault="008B4764" w:rsidP="008B4764">
      <w:r>
        <w:t>Procurement is also governed by Victoria’s commitment to comply with various Free Trade Agreements, including a Government Procurement Chapter whereby:</w:t>
      </w:r>
      <w:r w:rsidR="004600A4">
        <w:t xml:space="preserve"> </w:t>
      </w:r>
      <w:r>
        <w:t>A procuring entity may not seek, take account of, impose, or enforce offsets in the qualification and selection of suppliers, goods or services, in the evaluation of tenders or in the award of contracts before or in the course of a covered procurement.</w:t>
      </w:r>
    </w:p>
    <w:p w14:paraId="623848C1" w14:textId="77777777" w:rsidR="008B4764" w:rsidRPr="00C26280" w:rsidRDefault="008B4764" w:rsidP="00C26280">
      <w:pPr>
        <w:pStyle w:val="Heading3"/>
        <w:rPr>
          <w:color w:val="7030A0"/>
        </w:rPr>
      </w:pPr>
      <w:r w:rsidRPr="00C26280">
        <w:rPr>
          <w:color w:val="7030A0"/>
        </w:rPr>
        <w:t>Adopting an approach that encourages innovative responses</w:t>
      </w:r>
    </w:p>
    <w:p w14:paraId="244BF140" w14:textId="77777777" w:rsidR="008B4764" w:rsidRDefault="008B4764" w:rsidP="008B4764">
      <w:r>
        <w:t>Encouraging innovation from the market can generate cost savings, result in the transfer of intellectual property and facilitate better response to the needs of clients of the organisation.</w:t>
      </w:r>
    </w:p>
    <w:p w14:paraId="1072F5A0" w14:textId="77777777" w:rsidR="003C2DF3" w:rsidRDefault="003C2DF3" w:rsidP="00C26280">
      <w:r>
        <w:t>Considerations</w:t>
      </w:r>
    </w:p>
    <w:p w14:paraId="2545B8A5" w14:textId="77777777" w:rsidR="008B4764" w:rsidRDefault="008B4764" w:rsidP="009B4772">
      <w:pPr>
        <w:pStyle w:val="Bullet2"/>
        <w:numPr>
          <w:ilvl w:val="1"/>
          <w:numId w:val="20"/>
        </w:numPr>
      </w:pPr>
      <w:r>
        <w:t xml:space="preserve">Build on the consideration for innovation embedded in the culture of the organisation. </w:t>
      </w:r>
    </w:p>
    <w:p w14:paraId="7EC94A49" w14:textId="77777777" w:rsidR="008B4764" w:rsidRDefault="008B4764" w:rsidP="009B4772">
      <w:pPr>
        <w:pStyle w:val="Bullet2"/>
        <w:numPr>
          <w:ilvl w:val="1"/>
          <w:numId w:val="20"/>
        </w:numPr>
      </w:pPr>
      <w:r>
        <w:t>Initiate early market engagement and early supplier engagement strategies to provide the market with time to better understand the organisation’s needs and formulate an innovative response.</w:t>
      </w:r>
    </w:p>
    <w:p w14:paraId="1FEB6BBE" w14:textId="77777777" w:rsidR="00E64AC0" w:rsidRPr="00741DF4" w:rsidRDefault="00043565" w:rsidP="00741DF4">
      <w:pPr>
        <w:pStyle w:val="Heading3"/>
        <w:rPr>
          <w:color w:val="7030A0"/>
        </w:rPr>
      </w:pPr>
      <w:r w:rsidRPr="00741DF4">
        <w:rPr>
          <w:color w:val="7030A0"/>
        </w:rPr>
        <w:t>T</w:t>
      </w:r>
      <w:r w:rsidR="00E64AC0" w:rsidRPr="00741DF4">
        <w:rPr>
          <w:color w:val="7030A0"/>
        </w:rPr>
        <w:t>he Supplier Code of Conduct</w:t>
      </w:r>
    </w:p>
    <w:p w14:paraId="259120EE" w14:textId="0292FA22" w:rsidR="00895269" w:rsidRPr="006F26E3" w:rsidRDefault="00E64AC0" w:rsidP="00523241">
      <w:pPr>
        <w:rPr>
          <w:rStyle w:val="Hyperlink"/>
        </w:rPr>
      </w:pPr>
      <w:r w:rsidRPr="003870F2">
        <w:t>The Victorian Government (the State) is committed to ethical, sustainable and socially responsible procurement. The State views its suppliers as partners and cares about the way they do business.</w:t>
      </w:r>
      <w:r w:rsidR="000645E2" w:rsidRPr="003870F2">
        <w:t xml:space="preserve"> </w:t>
      </w:r>
      <w:r w:rsidRPr="003870F2">
        <w:t xml:space="preserve">The </w:t>
      </w:r>
      <w:hyperlink r:id="rId12" w:history="1">
        <w:r w:rsidR="00895269" w:rsidRPr="00A468C5">
          <w:rPr>
            <w:rStyle w:val="Hyperlink"/>
          </w:rPr>
          <w:t>Supplier Code of Conduct</w:t>
        </w:r>
      </w:hyperlink>
      <w:r w:rsidR="00895269" w:rsidRPr="00895269" w:rsidDel="00895269">
        <w:t xml:space="preserve"> </w:t>
      </w:r>
      <w:r w:rsidR="000645E2" w:rsidRPr="003870F2">
        <w:t xml:space="preserve">is applicable </w:t>
      </w:r>
      <w:r w:rsidR="000D37A7" w:rsidRPr="003870F2">
        <w:t>to all suppliers, contracts, agreements and purchase orders</w:t>
      </w:r>
      <w:r w:rsidR="00043565">
        <w:t>,</w:t>
      </w:r>
      <w:r w:rsidR="000645E2" w:rsidRPr="003870F2">
        <w:t xml:space="preserve"> for the supply of goods and services</w:t>
      </w:r>
      <w:r w:rsidR="00043565">
        <w:t>,</w:t>
      </w:r>
      <w:r w:rsidR="000D37A7" w:rsidRPr="003870F2">
        <w:t xml:space="preserve"> from </w:t>
      </w:r>
      <w:r w:rsidRPr="003870F2">
        <w:t>1 July 2017</w:t>
      </w:r>
      <w:r w:rsidR="00043565">
        <w:t>,</w:t>
      </w:r>
      <w:r w:rsidR="00BF1128" w:rsidRPr="003870F2">
        <w:t xml:space="preserve"> and </w:t>
      </w:r>
      <w:r w:rsidR="000645E2" w:rsidRPr="003870F2">
        <w:t xml:space="preserve">describes </w:t>
      </w:r>
      <w:r w:rsidR="00BF1128" w:rsidRPr="003870F2">
        <w:t>the minimum</w:t>
      </w:r>
      <w:r w:rsidR="000645E2" w:rsidRPr="003870F2">
        <w:t xml:space="preserve"> standards in </w:t>
      </w:r>
      <w:r w:rsidRPr="003870F2">
        <w:t>ethical behaviour that suppliers must aspire to meet when conducting business</w:t>
      </w:r>
      <w:r w:rsidR="000645E2">
        <w:t xml:space="preserve"> with or on behalf of the State</w:t>
      </w:r>
      <w:r w:rsidRPr="003870F2">
        <w:t>.</w:t>
      </w:r>
    </w:p>
    <w:p w14:paraId="4BA91A2F" w14:textId="77777777" w:rsidR="00E64AC0" w:rsidRDefault="00E64AC0" w:rsidP="00741DF4">
      <w:r w:rsidRPr="000645E2">
        <w:t>Considerations</w:t>
      </w:r>
    </w:p>
    <w:p w14:paraId="315E611B" w14:textId="77777777" w:rsidR="00523241" w:rsidRDefault="00E64AC0" w:rsidP="00632984">
      <w:pPr>
        <w:pStyle w:val="Bullet2"/>
        <w:numPr>
          <w:ilvl w:val="1"/>
          <w:numId w:val="20"/>
        </w:numPr>
      </w:pPr>
      <w:r w:rsidRPr="00043565">
        <w:t xml:space="preserve">All suppliers </w:t>
      </w:r>
      <w:r w:rsidR="003E5D72" w:rsidRPr="00043565">
        <w:t xml:space="preserve">who </w:t>
      </w:r>
      <w:r w:rsidRPr="00043565">
        <w:t>provide goods and services to the State</w:t>
      </w:r>
      <w:r w:rsidR="003E5D72" w:rsidRPr="00043565">
        <w:t>,</w:t>
      </w:r>
      <w:r w:rsidRPr="00043565">
        <w:t xml:space="preserve"> must acknowledge the Code</w:t>
      </w:r>
      <w:r w:rsidR="003E5D72" w:rsidRPr="00043565">
        <w:t xml:space="preserve"> </w:t>
      </w:r>
      <w:r w:rsidR="00043565">
        <w:t xml:space="preserve">by </w:t>
      </w:r>
      <w:r w:rsidR="003E5D72" w:rsidRPr="00043565">
        <w:t>signing and returning a</w:t>
      </w:r>
      <w:r w:rsidR="0028498C" w:rsidRPr="00043565">
        <w:t xml:space="preserve"> commitment letter</w:t>
      </w:r>
      <w:r w:rsidR="00043565">
        <w:t>,</w:t>
      </w:r>
      <w:r w:rsidR="0028498C" w:rsidRPr="00043565">
        <w:t xml:space="preserve"> </w:t>
      </w:r>
      <w:r w:rsidR="000645E2" w:rsidRPr="00043565">
        <w:t>issued as part of the</w:t>
      </w:r>
      <w:r w:rsidR="0028498C" w:rsidRPr="00043565">
        <w:t xml:space="preserve"> invitation to supply documentation. </w:t>
      </w:r>
      <w:r w:rsidR="00523241" w:rsidRPr="009956D4">
        <w:t>Failure to submit a commitment letter will disqualify the offer from evaluation.</w:t>
      </w:r>
    </w:p>
    <w:p w14:paraId="0CC00F18" w14:textId="77777777" w:rsidR="00E64AC0" w:rsidRDefault="00E64AC0" w:rsidP="00632984">
      <w:pPr>
        <w:pStyle w:val="Bullet2"/>
        <w:numPr>
          <w:ilvl w:val="1"/>
          <w:numId w:val="20"/>
        </w:numPr>
      </w:pPr>
      <w:r w:rsidRPr="003870F2">
        <w:t>Suppliers should be encouraged to raise concerns or seek clarification on any elements of the Code during the market approach process</w:t>
      </w:r>
      <w:r>
        <w:t>.</w:t>
      </w:r>
    </w:p>
    <w:p w14:paraId="5C5459BF" w14:textId="252408C0" w:rsidR="00895269" w:rsidRPr="00741DF4" w:rsidRDefault="00895269" w:rsidP="00741DF4">
      <w:pPr>
        <w:pStyle w:val="Heading3"/>
        <w:rPr>
          <w:color w:val="7030A0"/>
        </w:rPr>
      </w:pPr>
      <w:r w:rsidRPr="00741DF4">
        <w:rPr>
          <w:color w:val="7030A0"/>
        </w:rPr>
        <w:t>The Victorian Government Call Centre Code</w:t>
      </w:r>
    </w:p>
    <w:p w14:paraId="2B03D3EC" w14:textId="41E472AF" w:rsidR="00895269" w:rsidRDefault="00895269" w:rsidP="00895269">
      <w:r w:rsidRPr="00895269">
        <w:t xml:space="preserve">The </w:t>
      </w:r>
      <w:hyperlink r:id="rId13" w:history="1">
        <w:r w:rsidRPr="00A468C5">
          <w:rPr>
            <w:rStyle w:val="Hyperlink"/>
          </w:rPr>
          <w:t>Call Centre Code</w:t>
        </w:r>
      </w:hyperlink>
      <w:r w:rsidRPr="00895269">
        <w:t xml:space="preserve"> has been developed to assist people to understand the Victoria Government’s requirements and expectations in relation to the Victorian call centre industry. It aims to ensure that work is carried out lawfully, fairly, efficiently and safely for the benefits of all people within the call centre industry. </w:t>
      </w:r>
    </w:p>
    <w:p w14:paraId="4CE5CEEA" w14:textId="77777777" w:rsidR="00895269" w:rsidRDefault="00895269" w:rsidP="00741DF4">
      <w:r>
        <w:t>Considerations</w:t>
      </w:r>
    </w:p>
    <w:p w14:paraId="273FBA1B" w14:textId="77777777" w:rsidR="00895269" w:rsidRPr="00895269" w:rsidRDefault="00895269" w:rsidP="00632984">
      <w:pPr>
        <w:pStyle w:val="ListParagraph"/>
        <w:numPr>
          <w:ilvl w:val="0"/>
          <w:numId w:val="30"/>
        </w:numPr>
      </w:pPr>
      <w:r w:rsidRPr="00895269">
        <w:t>The Call Centre Code is a Victorian Government policy that applies to both government operated call centres and private sector organisations contracted to the Victorian Government to provide call centre services.</w:t>
      </w:r>
    </w:p>
    <w:p w14:paraId="52D36224" w14:textId="77777777" w:rsidR="00895269" w:rsidRPr="00895269" w:rsidRDefault="00895269" w:rsidP="00632984">
      <w:pPr>
        <w:pStyle w:val="ListParagraph"/>
        <w:numPr>
          <w:ilvl w:val="0"/>
          <w:numId w:val="30"/>
        </w:numPr>
      </w:pPr>
      <w:r w:rsidRPr="00895269">
        <w:t xml:space="preserve">Compliance with the Call Centre Code is a condition of any contract in which a private sector organisation provides call centre services to the Victorian Government. To ensure businesses </w:t>
      </w:r>
      <w:r w:rsidRPr="00895269">
        <w:lastRenderedPageBreak/>
        <w:t>supplying call centre services to the Victorian Government are complying with the Code, invitees are required to lodge a completed Checklist for Compliance with the Call Centre Code and a signed Declaration of Compliance with their offer. Failure to submit a completed Checklist for Compliance with the Call Centre Code and a signed Declaration of Compliance will disqualify the offer from evaluation.</w:t>
      </w:r>
    </w:p>
    <w:p w14:paraId="1268F219" w14:textId="77777777" w:rsidR="00895269" w:rsidRDefault="00895269" w:rsidP="00632984">
      <w:pPr>
        <w:pStyle w:val="ListParagraph"/>
        <w:numPr>
          <w:ilvl w:val="0"/>
          <w:numId w:val="30"/>
        </w:numPr>
      </w:pPr>
      <w:r w:rsidRPr="00895269">
        <w:t>Government buyers must include the model contract clause in procurement contracts with suppliers providing call centre services to this will create a binding contractual obligation on the supplier to comply with the Call Centre Code.</w:t>
      </w:r>
    </w:p>
    <w:p w14:paraId="5D0C57A6" w14:textId="77777777" w:rsidR="008B4764" w:rsidRPr="00741DF4" w:rsidRDefault="008B4764" w:rsidP="00741DF4">
      <w:pPr>
        <w:pStyle w:val="Heading3"/>
        <w:rPr>
          <w:color w:val="7030A0"/>
        </w:rPr>
      </w:pPr>
      <w:r w:rsidRPr="00741DF4">
        <w:rPr>
          <w:color w:val="7030A0"/>
        </w:rPr>
        <w:t xml:space="preserve">Requiring compliance with </w:t>
      </w:r>
      <w:r w:rsidR="007C3F67" w:rsidRPr="00741DF4">
        <w:rPr>
          <w:color w:val="7030A0"/>
        </w:rPr>
        <w:t xml:space="preserve">International and </w:t>
      </w:r>
      <w:r w:rsidRPr="00741DF4">
        <w:rPr>
          <w:color w:val="7030A0"/>
        </w:rPr>
        <w:t>Australian Accreditation Standards where applicable</w:t>
      </w:r>
    </w:p>
    <w:p w14:paraId="3D8B5452" w14:textId="77777777" w:rsidR="008B4764" w:rsidRDefault="008B4764" w:rsidP="008B4764">
      <w:r>
        <w:t>Accreditation standards detail the performance standards to be performed or delivered by parties in particular market sectors</w:t>
      </w:r>
      <w:r w:rsidR="00F71016">
        <w:t xml:space="preserve">. </w:t>
      </w:r>
      <w:r>
        <w:t>Having accreditation gives a buyer a degree of assurance that the supplier is able to provide a level or range of service of relevance to the procurement activity.</w:t>
      </w:r>
    </w:p>
    <w:p w14:paraId="252E9F8A" w14:textId="77777777" w:rsidR="003C2DF3" w:rsidRDefault="003C2DF3" w:rsidP="00741DF4">
      <w:r>
        <w:t>Considerations</w:t>
      </w:r>
    </w:p>
    <w:p w14:paraId="08AB2B22" w14:textId="77777777" w:rsidR="008B4764" w:rsidRDefault="008B4764" w:rsidP="009B4772">
      <w:pPr>
        <w:pStyle w:val="Bullet2"/>
        <w:numPr>
          <w:ilvl w:val="1"/>
          <w:numId w:val="21"/>
        </w:numPr>
      </w:pPr>
      <w:r>
        <w:t>Where relevant to the procurement activity, inform the market that suppliers will need to comply with the appropriate accreditation standards in order to participate in the procurement process.</w:t>
      </w:r>
    </w:p>
    <w:p w14:paraId="548D73D8" w14:textId="77777777" w:rsidR="008B4764" w:rsidRDefault="008B4764" w:rsidP="00741DF4">
      <w:r w:rsidRPr="00741DF4">
        <w:t>Note</w:t>
      </w:r>
      <w:r w:rsidRPr="00395B75">
        <w:t xml:space="preserve">: </w:t>
      </w:r>
      <w:r>
        <w:t xml:space="preserve">an offer to supply potentially establishes a legal relationship between the </w:t>
      </w:r>
      <w:r w:rsidR="0043290E">
        <w:t xml:space="preserve">Organisations </w:t>
      </w:r>
      <w:r>
        <w:t>and the supplier(s)</w:t>
      </w:r>
      <w:r w:rsidRPr="00395B75">
        <w:t>. This is known as a ‘process contract’.</w:t>
      </w:r>
    </w:p>
    <w:p w14:paraId="51F12729" w14:textId="77777777" w:rsidR="008B4764" w:rsidRPr="00741DF4" w:rsidRDefault="008B4764" w:rsidP="00741DF4">
      <w:pPr>
        <w:pStyle w:val="Heading3"/>
        <w:rPr>
          <w:color w:val="7030A0"/>
        </w:rPr>
      </w:pPr>
      <w:r w:rsidRPr="00741DF4">
        <w:rPr>
          <w:color w:val="7030A0"/>
        </w:rPr>
        <w:t>Market notification</w:t>
      </w:r>
    </w:p>
    <w:p w14:paraId="2B78264A" w14:textId="77777777" w:rsidR="008B4764" w:rsidRDefault="008B4764" w:rsidP="008B4764">
      <w:r>
        <w:t>The process for notifying the market about supply opportunities needs to balance the nature of the procurement requirement and the relevant market sector dynamics with the costs and benefits to buyer and supplier.</w:t>
      </w:r>
    </w:p>
    <w:p w14:paraId="3B61A8EB" w14:textId="77777777" w:rsidR="008B4764" w:rsidRDefault="008B4764" w:rsidP="007C3F67">
      <w:r>
        <w:t>A limited invitation to supply involves a direct approach to the market. Such an approach should not be used</w:t>
      </w:r>
      <w:r w:rsidR="007C3F67">
        <w:t>:</w:t>
      </w:r>
    </w:p>
    <w:p w14:paraId="2C9A1684" w14:textId="77777777" w:rsidR="007C3F67" w:rsidRDefault="007C3F67" w:rsidP="009B4772">
      <w:pPr>
        <w:pStyle w:val="Bullet2"/>
        <w:numPr>
          <w:ilvl w:val="1"/>
          <w:numId w:val="19"/>
        </w:numPr>
      </w:pPr>
      <w:r>
        <w:t>to avoid competition; or</w:t>
      </w:r>
    </w:p>
    <w:p w14:paraId="2E5E82F2" w14:textId="6FA16333" w:rsidR="007C3F67" w:rsidRDefault="007C3F67" w:rsidP="009B4772">
      <w:pPr>
        <w:pStyle w:val="Bullet2"/>
        <w:numPr>
          <w:ilvl w:val="1"/>
          <w:numId w:val="19"/>
        </w:numPr>
      </w:pPr>
      <w:r>
        <w:t xml:space="preserve">other than in accordance with applicable </w:t>
      </w:r>
      <w:hyperlink r:id="rId14" w:history="1">
        <w:r w:rsidRPr="00A468C5">
          <w:rPr>
            <w:rStyle w:val="Hyperlink"/>
          </w:rPr>
          <w:t>International Agreements</w:t>
        </w:r>
      </w:hyperlink>
    </w:p>
    <w:p w14:paraId="7AD25235" w14:textId="77777777" w:rsidR="007C3F67" w:rsidRDefault="007C3F67" w:rsidP="001905BD">
      <w:pPr>
        <w:pStyle w:val="Bullet2"/>
        <w:numPr>
          <w:ilvl w:val="0"/>
          <w:numId w:val="0"/>
        </w:numPr>
      </w:pPr>
      <w:r>
        <w:t>A limited invitation to supply may be relevant where:</w:t>
      </w:r>
    </w:p>
    <w:p w14:paraId="71A8A25A" w14:textId="77777777" w:rsidR="007C3F67" w:rsidRDefault="007C3F67" w:rsidP="009B4772">
      <w:pPr>
        <w:pStyle w:val="Bullet2"/>
        <w:numPr>
          <w:ilvl w:val="1"/>
          <w:numId w:val="19"/>
        </w:numPr>
      </w:pPr>
      <w:r>
        <w:t>one or more of the Special Circumstances apply, as detailed in ‘Government procurement under International Agreements – procurement guide’;</w:t>
      </w:r>
    </w:p>
    <w:p w14:paraId="6D69547F" w14:textId="77777777" w:rsidR="008B4764" w:rsidRDefault="008B4764" w:rsidP="009B4772">
      <w:pPr>
        <w:pStyle w:val="Bullet2"/>
        <w:numPr>
          <w:ilvl w:val="1"/>
          <w:numId w:val="19"/>
        </w:numPr>
      </w:pPr>
      <w:r>
        <w:t>the procurement requirement can only be provided by an extremely limited field of suppliers;</w:t>
      </w:r>
    </w:p>
    <w:p w14:paraId="7CDB8B70" w14:textId="77777777" w:rsidR="008B4764" w:rsidRDefault="008B4764" w:rsidP="009B4772">
      <w:pPr>
        <w:pStyle w:val="Bullet2"/>
        <w:numPr>
          <w:ilvl w:val="1"/>
          <w:numId w:val="19"/>
        </w:numPr>
      </w:pPr>
      <w:r>
        <w:t xml:space="preserve">the procurement requirement is related to accessing specific intellectual property, specific technical requirements or maintaining a common operating platform; </w:t>
      </w:r>
    </w:p>
    <w:p w14:paraId="0D8138E8" w14:textId="77777777" w:rsidR="008B4764" w:rsidRDefault="008B4764" w:rsidP="009B4772">
      <w:pPr>
        <w:pStyle w:val="Bullet2"/>
        <w:numPr>
          <w:ilvl w:val="1"/>
          <w:numId w:val="19"/>
        </w:numPr>
      </w:pPr>
      <w:r>
        <w:t>there is an opportunity to build on market</w:t>
      </w:r>
      <w:r w:rsidR="00F71016">
        <w:noBreakHyphen/>
      </w:r>
      <w:r>
        <w:t>based solutions and to develop strategic partnership arrangements; and</w:t>
      </w:r>
    </w:p>
    <w:p w14:paraId="3170E171" w14:textId="77777777" w:rsidR="008B4764" w:rsidRDefault="008B4764" w:rsidP="009B4772">
      <w:pPr>
        <w:pStyle w:val="Bullet2"/>
        <w:numPr>
          <w:ilvl w:val="1"/>
          <w:numId w:val="19"/>
        </w:numPr>
      </w:pPr>
      <w:r>
        <w:t>there is a requirement to address security requirements, protect patents, copyrights, propriety information or intellectual property.</w:t>
      </w:r>
    </w:p>
    <w:p w14:paraId="528578A0" w14:textId="77777777" w:rsidR="008B4764" w:rsidRDefault="008B4764" w:rsidP="008B4764">
      <w:r>
        <w:t xml:space="preserve">When carrying out a limited invitation to supply involving a direct approach to more than one selected/nominated suppliers, you need to determine the appropriate number of suppliers to notify to generate value for both buyer and supplier. </w:t>
      </w:r>
    </w:p>
    <w:p w14:paraId="65718464" w14:textId="77777777" w:rsidR="003C2DF3" w:rsidRDefault="003C2DF3" w:rsidP="00741DF4">
      <w:r>
        <w:t>Considerations</w:t>
      </w:r>
    </w:p>
    <w:p w14:paraId="4EF0CA3E" w14:textId="77777777" w:rsidR="007C3F67" w:rsidRDefault="007C3F67" w:rsidP="009B4772">
      <w:pPr>
        <w:pStyle w:val="Bullet2"/>
        <w:numPr>
          <w:ilvl w:val="1"/>
          <w:numId w:val="17"/>
        </w:numPr>
      </w:pPr>
      <w:r>
        <w:t>Assess whether any International Agreements apply to the procu</w:t>
      </w:r>
      <w:r w:rsidR="00445F33">
        <w:t>rement and, if so, whether any special c</w:t>
      </w:r>
      <w:r>
        <w:t>ircumstances permit a limited invitation to supply under each applicable International Agreement.</w:t>
      </w:r>
    </w:p>
    <w:p w14:paraId="068B852B" w14:textId="77777777" w:rsidR="008B4764" w:rsidRDefault="008B4764" w:rsidP="009B4772">
      <w:pPr>
        <w:pStyle w:val="Bullet2"/>
        <w:numPr>
          <w:ilvl w:val="1"/>
          <w:numId w:val="17"/>
        </w:numPr>
      </w:pPr>
      <w:r>
        <w:t>Obtain sufficient submissions to assess the degree to which the engagement can satisfy a value</w:t>
      </w:r>
      <w:r w:rsidR="00F71016">
        <w:noBreakHyphen/>
      </w:r>
      <w:r>
        <w:t>for</w:t>
      </w:r>
      <w:r w:rsidR="00F71016">
        <w:noBreakHyphen/>
      </w:r>
      <w:r>
        <w:t xml:space="preserve">money outcome. </w:t>
      </w:r>
    </w:p>
    <w:p w14:paraId="31807187" w14:textId="77777777" w:rsidR="008B4764" w:rsidRDefault="008B4764" w:rsidP="009B4772">
      <w:pPr>
        <w:pStyle w:val="Bullet2"/>
        <w:numPr>
          <w:ilvl w:val="1"/>
          <w:numId w:val="17"/>
        </w:numPr>
      </w:pPr>
      <w:r>
        <w:t>Ensure the number of submissions reflects the relevant market sector’s ability to supply.</w:t>
      </w:r>
    </w:p>
    <w:p w14:paraId="279016A5" w14:textId="77777777" w:rsidR="008B4764" w:rsidRDefault="008B4764" w:rsidP="009B4772">
      <w:pPr>
        <w:pStyle w:val="Bullet2"/>
        <w:numPr>
          <w:ilvl w:val="1"/>
          <w:numId w:val="17"/>
        </w:numPr>
      </w:pPr>
      <w:r>
        <w:t>Obtain sufficient participation to establish a competitive environment and to compare submissions.</w:t>
      </w:r>
    </w:p>
    <w:p w14:paraId="5DC1802C" w14:textId="77777777" w:rsidR="008B4764" w:rsidRDefault="008B4764" w:rsidP="009B4772">
      <w:pPr>
        <w:pStyle w:val="Bullet2"/>
        <w:numPr>
          <w:ilvl w:val="1"/>
          <w:numId w:val="17"/>
        </w:numPr>
      </w:pPr>
      <w:r>
        <w:lastRenderedPageBreak/>
        <w:t>Adopt a strategic negotiation framework to drive innovation and value</w:t>
      </w:r>
      <w:r w:rsidR="00F71016">
        <w:noBreakHyphen/>
      </w:r>
      <w:r>
        <w:t>for</w:t>
      </w:r>
      <w:r w:rsidR="00F71016">
        <w:noBreakHyphen/>
      </w:r>
      <w:r>
        <w:t>money outcomes.</w:t>
      </w:r>
    </w:p>
    <w:p w14:paraId="4D057699" w14:textId="4FDF2369" w:rsidR="008B4764" w:rsidRPr="00741DF4" w:rsidRDefault="008B4764" w:rsidP="00741DF4">
      <w:pPr>
        <w:pStyle w:val="Heading3"/>
        <w:rPr>
          <w:color w:val="7030A0"/>
        </w:rPr>
      </w:pPr>
      <w:r w:rsidRPr="00741DF4">
        <w:rPr>
          <w:color w:val="7030A0"/>
        </w:rPr>
        <w:t>Possible considerations in selecting the optimal path to market</w:t>
      </w:r>
    </w:p>
    <w:p w14:paraId="65A3B4DB" w14:textId="515463D3" w:rsidR="005558AF" w:rsidRDefault="004600A4" w:rsidP="005558AF">
      <w:r>
        <w:t xml:space="preserve">The following table </w:t>
      </w:r>
      <w:r w:rsidR="005558AF">
        <w:t>indicates the possible paths to market based on the complexity of the procurement.</w:t>
      </w:r>
    </w:p>
    <w:p w14:paraId="7C9F2392" w14:textId="77777777" w:rsidR="004600A4" w:rsidRDefault="004600A4" w:rsidP="004600A4">
      <w:pPr>
        <w:pStyle w:val="Caption"/>
        <w:spacing w:before="100" w:after="100" w:line="240" w:lineRule="atLeast"/>
      </w:pPr>
      <w:r w:rsidRPr="008C6336">
        <w:t>Potential</w:t>
      </w:r>
      <w:r>
        <w:t xml:space="preserve"> path</w:t>
      </w:r>
      <w:r>
        <w:noBreakHyphen/>
        <w:t>to</w:t>
      </w:r>
      <w:r>
        <w:noBreakHyphen/>
      </w:r>
      <w:r w:rsidRPr="008C6336">
        <w:t>market options for</w:t>
      </w:r>
      <w:r>
        <w:t xml:space="preserve"> each</w:t>
      </w:r>
      <w:r w:rsidRPr="008C6336">
        <w:t xml:space="preserve"> complexity </w:t>
      </w:r>
      <w:r>
        <w:t>quadrants</w:t>
      </w:r>
    </w:p>
    <w:tbl>
      <w:tblPr>
        <w:tblStyle w:val="TableGrid"/>
        <w:tblW w:w="0" w:type="auto"/>
        <w:tblLook w:val="04A0" w:firstRow="1" w:lastRow="0" w:firstColumn="1" w:lastColumn="0" w:noHBand="0" w:noVBand="1"/>
      </w:tblPr>
      <w:tblGrid>
        <w:gridCol w:w="374"/>
        <w:gridCol w:w="1620"/>
        <w:gridCol w:w="7804"/>
      </w:tblGrid>
      <w:tr w:rsidR="004600A4" w14:paraId="446214FF" w14:textId="77777777" w:rsidTr="003D7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tcPr>
          <w:p w14:paraId="0024A116" w14:textId="77777777" w:rsidR="004600A4" w:rsidRPr="004A5495" w:rsidRDefault="004600A4" w:rsidP="003D7DCC">
            <w:pPr>
              <w:pStyle w:val="TableHeader"/>
            </w:pPr>
          </w:p>
        </w:tc>
        <w:tc>
          <w:tcPr>
            <w:tcW w:w="1620" w:type="dxa"/>
          </w:tcPr>
          <w:p w14:paraId="18448503" w14:textId="77777777" w:rsidR="004600A4" w:rsidRPr="003435EF" w:rsidRDefault="004600A4" w:rsidP="003D7DCC">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Quadrant</w:t>
            </w:r>
          </w:p>
        </w:tc>
        <w:tc>
          <w:tcPr>
            <w:tcW w:w="7804" w:type="dxa"/>
          </w:tcPr>
          <w:p w14:paraId="17AF8A87" w14:textId="77777777" w:rsidR="004600A4" w:rsidRPr="003435EF" w:rsidRDefault="004600A4" w:rsidP="003D7DCC">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Typical sourcing methods in suggested order of preference</w:t>
            </w:r>
          </w:p>
        </w:tc>
      </w:tr>
      <w:tr w:rsidR="004600A4" w:rsidRPr="004A5495" w14:paraId="1BC5440E" w14:textId="77777777" w:rsidTr="003D7DCC">
        <w:tc>
          <w:tcPr>
            <w:cnfStyle w:val="001000000000" w:firstRow="0" w:lastRow="0" w:firstColumn="1" w:lastColumn="0" w:oddVBand="0" w:evenVBand="0" w:oddHBand="0" w:evenHBand="0" w:firstRowFirstColumn="0" w:firstRowLastColumn="0" w:lastRowFirstColumn="0" w:lastRowLastColumn="0"/>
            <w:tcW w:w="374" w:type="dxa"/>
            <w:shd w:val="clear" w:color="auto" w:fill="660B68"/>
          </w:tcPr>
          <w:p w14:paraId="01CC5044" w14:textId="77777777" w:rsidR="004600A4" w:rsidRPr="004A5495" w:rsidRDefault="004600A4" w:rsidP="003D7DCC">
            <w:pPr>
              <w:pStyle w:val="TableText"/>
              <w:rPr>
                <w:color w:val="FFFFFF" w:themeColor="background1"/>
              </w:rPr>
            </w:pPr>
            <w:r w:rsidRPr="004A5495">
              <w:rPr>
                <w:color w:val="FFFFFF" w:themeColor="background1"/>
              </w:rPr>
              <w:t>1</w:t>
            </w:r>
          </w:p>
        </w:tc>
        <w:tc>
          <w:tcPr>
            <w:tcW w:w="1620" w:type="dxa"/>
          </w:tcPr>
          <w:p w14:paraId="162FED4A"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r w:rsidRPr="004A5495">
              <w:t>Transactional</w:t>
            </w:r>
          </w:p>
        </w:tc>
        <w:tc>
          <w:tcPr>
            <w:tcW w:w="7804" w:type="dxa"/>
          </w:tcPr>
          <w:p w14:paraId="47AEE648"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r w:rsidRPr="004A5495">
              <w:t>Quotes, open or selective invitation to supply</w:t>
            </w:r>
          </w:p>
        </w:tc>
      </w:tr>
      <w:tr w:rsidR="004600A4" w:rsidRPr="004A5495" w14:paraId="0840388E"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shd w:val="clear" w:color="auto" w:fill="660B68"/>
          </w:tcPr>
          <w:p w14:paraId="79D09623" w14:textId="77777777" w:rsidR="004600A4" w:rsidRPr="004A5495" w:rsidRDefault="004600A4" w:rsidP="003D7DCC">
            <w:pPr>
              <w:pStyle w:val="TableText"/>
              <w:rPr>
                <w:color w:val="FFFFFF" w:themeColor="background1"/>
              </w:rPr>
            </w:pPr>
            <w:r w:rsidRPr="004A5495">
              <w:rPr>
                <w:color w:val="FFFFFF" w:themeColor="background1"/>
              </w:rPr>
              <w:t>2</w:t>
            </w:r>
          </w:p>
        </w:tc>
        <w:tc>
          <w:tcPr>
            <w:tcW w:w="1620" w:type="dxa"/>
          </w:tcPr>
          <w:p w14:paraId="521CC0BD"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r w:rsidRPr="004A5495">
              <w:t>Leveraged</w:t>
            </w:r>
          </w:p>
        </w:tc>
        <w:tc>
          <w:tcPr>
            <w:tcW w:w="7804" w:type="dxa"/>
          </w:tcPr>
          <w:p w14:paraId="341AEE99"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r w:rsidRPr="004A5495">
              <w:t>State purchase contracts, Sole entity purchase arrangements, panels, head agreements, early supplier engagement, open or selective invitations to supply, auctions, e</w:t>
            </w:r>
            <w:r>
              <w:noBreakHyphen/>
            </w:r>
            <w:r w:rsidRPr="004A5495">
              <w:t>systems, brokerage, master vendor, etc.</w:t>
            </w:r>
          </w:p>
        </w:tc>
      </w:tr>
      <w:tr w:rsidR="004600A4" w:rsidRPr="004A5495" w14:paraId="0A2638E3" w14:textId="77777777" w:rsidTr="003D7DCC">
        <w:tc>
          <w:tcPr>
            <w:cnfStyle w:val="001000000000" w:firstRow="0" w:lastRow="0" w:firstColumn="1" w:lastColumn="0" w:oddVBand="0" w:evenVBand="0" w:oddHBand="0" w:evenHBand="0" w:firstRowFirstColumn="0" w:firstRowLastColumn="0" w:lastRowFirstColumn="0" w:lastRowLastColumn="0"/>
            <w:tcW w:w="374" w:type="dxa"/>
            <w:shd w:val="clear" w:color="auto" w:fill="660B68"/>
          </w:tcPr>
          <w:p w14:paraId="22C65251" w14:textId="77777777" w:rsidR="004600A4" w:rsidRPr="004A5495" w:rsidRDefault="004600A4" w:rsidP="003D7DCC">
            <w:pPr>
              <w:pStyle w:val="TableText"/>
              <w:rPr>
                <w:color w:val="FFFFFF" w:themeColor="background1"/>
              </w:rPr>
            </w:pPr>
            <w:r w:rsidRPr="004A5495">
              <w:rPr>
                <w:color w:val="FFFFFF" w:themeColor="background1"/>
              </w:rPr>
              <w:t>3</w:t>
            </w:r>
          </w:p>
        </w:tc>
        <w:tc>
          <w:tcPr>
            <w:tcW w:w="1620" w:type="dxa"/>
          </w:tcPr>
          <w:p w14:paraId="2D509FC7"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r w:rsidRPr="004A5495">
              <w:t>Focused</w:t>
            </w:r>
          </w:p>
        </w:tc>
        <w:tc>
          <w:tcPr>
            <w:tcW w:w="7804" w:type="dxa"/>
          </w:tcPr>
          <w:p w14:paraId="090E7189"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r w:rsidRPr="004A5495">
              <w:t>Early supplier involvement, multi</w:t>
            </w:r>
            <w:r>
              <w:noBreakHyphen/>
            </w:r>
            <w:r w:rsidRPr="004A5495">
              <w:t>stage invitation process, auctions, e</w:t>
            </w:r>
            <w:r>
              <w:noBreakHyphen/>
            </w:r>
            <w:r w:rsidRPr="004A5495">
              <w:t>systems, direct negotiation, inter government delivery arrangements</w:t>
            </w:r>
          </w:p>
        </w:tc>
      </w:tr>
      <w:tr w:rsidR="004600A4" w:rsidRPr="004A5495" w14:paraId="113A2C7E"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 w:type="dxa"/>
            <w:shd w:val="clear" w:color="auto" w:fill="660B68"/>
          </w:tcPr>
          <w:p w14:paraId="77612511" w14:textId="77777777" w:rsidR="004600A4" w:rsidRPr="004A5495" w:rsidRDefault="004600A4" w:rsidP="003D7DCC">
            <w:pPr>
              <w:pStyle w:val="TableText"/>
              <w:rPr>
                <w:color w:val="FFFFFF" w:themeColor="background1"/>
              </w:rPr>
            </w:pPr>
            <w:r w:rsidRPr="004A5495">
              <w:rPr>
                <w:color w:val="FFFFFF" w:themeColor="background1"/>
              </w:rPr>
              <w:t>4</w:t>
            </w:r>
          </w:p>
        </w:tc>
        <w:tc>
          <w:tcPr>
            <w:tcW w:w="1620" w:type="dxa"/>
          </w:tcPr>
          <w:p w14:paraId="64D7FDC0"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r w:rsidRPr="004A5495">
              <w:t>Strategic</w:t>
            </w:r>
          </w:p>
        </w:tc>
        <w:tc>
          <w:tcPr>
            <w:tcW w:w="7804" w:type="dxa"/>
          </w:tcPr>
          <w:p w14:paraId="4D2EA343"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r w:rsidRPr="004A5495">
              <w:t>Alliance arrangement, public private partnerships, inter</w:t>
            </w:r>
            <w:r>
              <w:noBreakHyphen/>
            </w:r>
            <w:r w:rsidRPr="004A5495">
              <w:t>government delivery arrangements, procurement specific designed engagement, multi stage engagement etc.</w:t>
            </w:r>
          </w:p>
        </w:tc>
      </w:tr>
    </w:tbl>
    <w:p w14:paraId="545E1744" w14:textId="467F2C61" w:rsidR="008B4764" w:rsidRDefault="004600A4" w:rsidP="008B4764">
      <w:r>
        <w:t xml:space="preserve">The following table </w:t>
      </w:r>
      <w:r w:rsidR="008B4764">
        <w:t>indicates the different considerations when choosing the optimal path to market. Where an assessment indicates a range of market engagement options, your approach should apply the most cost</w:t>
      </w:r>
      <w:r w:rsidR="00F71016">
        <w:noBreakHyphen/>
      </w:r>
      <w:r w:rsidR="008B4764">
        <w:t xml:space="preserve">effective option for buyer and supplier with a focus on encouraging participation by </w:t>
      </w:r>
      <w:r w:rsidR="007C3F67">
        <w:t>Australia and New</w:t>
      </w:r>
      <w:r w:rsidR="008B4764">
        <w:t xml:space="preserve"> </w:t>
      </w:r>
      <w:r w:rsidR="007C3F67">
        <w:t>Zealand</w:t>
      </w:r>
      <w:r>
        <w:t xml:space="preserve"> </w:t>
      </w:r>
      <w:r w:rsidR="008B4764">
        <w:t>SMEs.</w:t>
      </w:r>
    </w:p>
    <w:p w14:paraId="491F8629" w14:textId="77777777" w:rsidR="004600A4" w:rsidRDefault="004600A4" w:rsidP="004600A4">
      <w:pPr>
        <w:pStyle w:val="Caption"/>
        <w:spacing w:before="100" w:after="100" w:line="240" w:lineRule="atLeast"/>
      </w:pPr>
      <w:r>
        <w:t>Possible</w:t>
      </w:r>
      <w:r w:rsidRPr="00054584">
        <w:t xml:space="preserve"> considerations in selecting</w:t>
      </w:r>
      <w:r w:rsidRPr="003F0213">
        <w:t xml:space="preserve"> the optimal path to market</w:t>
      </w:r>
    </w:p>
    <w:tbl>
      <w:tblPr>
        <w:tblStyle w:val="TableGrid"/>
        <w:tblW w:w="0" w:type="auto"/>
        <w:tblLook w:val="04A0" w:firstRow="1" w:lastRow="0" w:firstColumn="1" w:lastColumn="0" w:noHBand="0" w:noVBand="1"/>
      </w:tblPr>
      <w:tblGrid>
        <w:gridCol w:w="6044"/>
        <w:gridCol w:w="3690"/>
      </w:tblGrid>
      <w:tr w:rsidR="004600A4" w14:paraId="74197756" w14:textId="77777777" w:rsidTr="003D7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tcPr>
          <w:p w14:paraId="596AA6AA" w14:textId="77777777" w:rsidR="004600A4" w:rsidRPr="004A5495" w:rsidRDefault="004600A4" w:rsidP="003D7DCC">
            <w:pPr>
              <w:pStyle w:val="TableHeader"/>
            </w:pPr>
            <w:r w:rsidRPr="004A5495">
              <w:t>To what extent do the following impact on selecting the optimal path to market?</w:t>
            </w:r>
          </w:p>
        </w:tc>
        <w:tc>
          <w:tcPr>
            <w:tcW w:w="3690" w:type="dxa"/>
          </w:tcPr>
          <w:p w14:paraId="6B88A471" w14:textId="77777777" w:rsidR="004600A4" w:rsidRDefault="004600A4" w:rsidP="003D7DCC">
            <w:pPr>
              <w:pStyle w:val="TableHeader"/>
              <w:cnfStyle w:val="100000000000" w:firstRow="1" w:lastRow="0" w:firstColumn="0" w:lastColumn="0" w:oddVBand="0" w:evenVBand="0" w:oddHBand="0" w:evenHBand="0" w:firstRowFirstColumn="0" w:firstRowLastColumn="0" w:lastRowFirstColumn="0" w:lastRowLastColumn="0"/>
            </w:pPr>
            <w:r w:rsidRPr="00C359D3">
              <w:t>Comments</w:t>
            </w:r>
          </w:p>
        </w:tc>
      </w:tr>
      <w:tr w:rsidR="004600A4" w14:paraId="3767A380"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10041ADA" w14:textId="77777777" w:rsidR="004600A4" w:rsidRPr="004A5495" w:rsidRDefault="004600A4" w:rsidP="003D7DCC">
            <w:pPr>
              <w:pStyle w:val="TableText"/>
              <w:rPr>
                <w:color w:val="auto"/>
              </w:rPr>
            </w:pPr>
            <w:r w:rsidRPr="004A5495">
              <w:rPr>
                <w:color w:val="auto"/>
              </w:rPr>
              <w:t>Is complexity assessed as transactional or leveraged?</w:t>
            </w:r>
          </w:p>
        </w:tc>
        <w:tc>
          <w:tcPr>
            <w:tcW w:w="3690" w:type="dxa"/>
          </w:tcPr>
          <w:p w14:paraId="0886D35F"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4E782867"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1DF843FD" w14:textId="77777777" w:rsidR="004600A4" w:rsidRPr="004A5495" w:rsidRDefault="004600A4" w:rsidP="003D7DCC">
            <w:pPr>
              <w:pStyle w:val="TableText"/>
              <w:rPr>
                <w:color w:val="auto"/>
              </w:rPr>
            </w:pPr>
            <w:r w:rsidRPr="004A5495">
              <w:rPr>
                <w:color w:val="auto"/>
              </w:rPr>
              <w:t>Is complexity assessed as focused or strategic?</w:t>
            </w:r>
          </w:p>
        </w:tc>
        <w:tc>
          <w:tcPr>
            <w:tcW w:w="3690" w:type="dxa"/>
            <w:shd w:val="clear" w:color="auto" w:fill="D9D9D9" w:themeFill="background1" w:themeFillShade="D9"/>
          </w:tcPr>
          <w:p w14:paraId="5854F642"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1798B0D3"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72B2DCDE" w14:textId="77777777" w:rsidR="004600A4" w:rsidRPr="004A5495" w:rsidRDefault="004600A4" w:rsidP="003D7DCC">
            <w:pPr>
              <w:pStyle w:val="TableText"/>
              <w:rPr>
                <w:color w:val="auto"/>
              </w:rPr>
            </w:pPr>
            <w:r w:rsidRPr="004A5495">
              <w:rPr>
                <w:color w:val="auto"/>
              </w:rPr>
              <w:t>Does the activity require a high degree of customisation?</w:t>
            </w:r>
          </w:p>
        </w:tc>
        <w:tc>
          <w:tcPr>
            <w:tcW w:w="3690" w:type="dxa"/>
          </w:tcPr>
          <w:p w14:paraId="52D02E9A"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34A6F9CF"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57C45130" w14:textId="77777777" w:rsidR="004600A4" w:rsidRPr="004A5495" w:rsidRDefault="004600A4" w:rsidP="003D7DCC">
            <w:pPr>
              <w:pStyle w:val="TableText"/>
              <w:rPr>
                <w:color w:val="auto"/>
              </w:rPr>
            </w:pPr>
            <w:r w:rsidRPr="004A5495">
              <w:rPr>
                <w:color w:val="auto"/>
              </w:rPr>
              <w:t>What is the risk level associated with the activity?</w:t>
            </w:r>
          </w:p>
        </w:tc>
        <w:tc>
          <w:tcPr>
            <w:tcW w:w="3690" w:type="dxa"/>
            <w:shd w:val="clear" w:color="auto" w:fill="D9D9D9" w:themeFill="background1" w:themeFillShade="D9"/>
          </w:tcPr>
          <w:p w14:paraId="216B83AB"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6A55F1BF"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04CA4701" w14:textId="77777777" w:rsidR="004600A4" w:rsidRPr="004A5495" w:rsidRDefault="004600A4" w:rsidP="003D7DCC">
            <w:pPr>
              <w:pStyle w:val="TableText"/>
              <w:rPr>
                <w:color w:val="auto"/>
              </w:rPr>
            </w:pPr>
            <w:r w:rsidRPr="004A5495">
              <w:rPr>
                <w:color w:val="auto"/>
              </w:rPr>
              <w:t>Does a competitive market exist and are alternate goods and services available?</w:t>
            </w:r>
          </w:p>
        </w:tc>
        <w:tc>
          <w:tcPr>
            <w:tcW w:w="3690" w:type="dxa"/>
          </w:tcPr>
          <w:p w14:paraId="5F12ABCE"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55ADA09E"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7E282C83" w14:textId="77777777" w:rsidR="004600A4" w:rsidRPr="004A5495" w:rsidRDefault="004600A4" w:rsidP="003D7DCC">
            <w:pPr>
              <w:pStyle w:val="TableText"/>
              <w:rPr>
                <w:color w:val="auto"/>
              </w:rPr>
            </w:pPr>
            <w:r w:rsidRPr="004A5495">
              <w:rPr>
                <w:color w:val="auto"/>
              </w:rPr>
              <w:t>Does the market feature new players/new technologies?</w:t>
            </w:r>
          </w:p>
        </w:tc>
        <w:tc>
          <w:tcPr>
            <w:tcW w:w="3690" w:type="dxa"/>
            <w:shd w:val="clear" w:color="auto" w:fill="D9D9D9" w:themeFill="background1" w:themeFillShade="D9"/>
          </w:tcPr>
          <w:p w14:paraId="66408EA8"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09D42E19"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00F7A239" w14:textId="77777777" w:rsidR="004600A4" w:rsidRPr="004A5495" w:rsidRDefault="004600A4" w:rsidP="003D7DCC">
            <w:pPr>
              <w:pStyle w:val="TableText"/>
              <w:rPr>
                <w:color w:val="auto"/>
              </w:rPr>
            </w:pPr>
            <w:r w:rsidRPr="004A5495">
              <w:rPr>
                <w:color w:val="auto"/>
              </w:rPr>
              <w:t>Can the activity be satisfied by different solutions?</w:t>
            </w:r>
          </w:p>
        </w:tc>
        <w:tc>
          <w:tcPr>
            <w:tcW w:w="3690" w:type="dxa"/>
          </w:tcPr>
          <w:p w14:paraId="3717097F"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3F3A5B05"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2BF935AC" w14:textId="77777777" w:rsidR="004600A4" w:rsidRPr="004A5495" w:rsidRDefault="004600A4" w:rsidP="003D7DCC">
            <w:pPr>
              <w:pStyle w:val="TableText"/>
              <w:rPr>
                <w:color w:val="auto"/>
              </w:rPr>
            </w:pPr>
            <w:r w:rsidRPr="004A5495">
              <w:rPr>
                <w:color w:val="auto"/>
              </w:rPr>
              <w:t>Is the activity associated with very specific non</w:t>
            </w:r>
            <w:r>
              <w:rPr>
                <w:color w:val="auto"/>
              </w:rPr>
              <w:noBreakHyphen/>
            </w:r>
            <w:r w:rsidRPr="004A5495">
              <w:rPr>
                <w:color w:val="auto"/>
              </w:rPr>
              <w:t>standard requirements?</w:t>
            </w:r>
          </w:p>
        </w:tc>
        <w:tc>
          <w:tcPr>
            <w:tcW w:w="3690" w:type="dxa"/>
            <w:shd w:val="clear" w:color="auto" w:fill="D9D9D9" w:themeFill="background1" w:themeFillShade="D9"/>
          </w:tcPr>
          <w:p w14:paraId="128CD0FE"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6AE94204"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3CC291E1" w14:textId="77777777" w:rsidR="004600A4" w:rsidRPr="004A5495" w:rsidRDefault="004600A4" w:rsidP="003D7DCC">
            <w:pPr>
              <w:pStyle w:val="TableText"/>
              <w:rPr>
                <w:color w:val="auto"/>
              </w:rPr>
            </w:pPr>
            <w:r w:rsidRPr="004A5495">
              <w:rPr>
                <w:color w:val="auto"/>
              </w:rPr>
              <w:t>Does the activity support a high level of innovation or non</w:t>
            </w:r>
            <w:r>
              <w:rPr>
                <w:color w:val="auto"/>
              </w:rPr>
              <w:noBreakHyphen/>
            </w:r>
            <w:r w:rsidRPr="004A5495">
              <w:rPr>
                <w:color w:val="auto"/>
              </w:rPr>
              <w:t>standard delivery arrangement?</w:t>
            </w:r>
          </w:p>
        </w:tc>
        <w:tc>
          <w:tcPr>
            <w:tcW w:w="3690" w:type="dxa"/>
          </w:tcPr>
          <w:p w14:paraId="0F632E05"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622E04FA"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1196893E" w14:textId="77777777" w:rsidR="004600A4" w:rsidRPr="004A5495" w:rsidRDefault="004600A4" w:rsidP="003D7DCC">
            <w:pPr>
              <w:pStyle w:val="TableText"/>
              <w:rPr>
                <w:color w:val="auto"/>
              </w:rPr>
            </w:pPr>
            <w:r w:rsidRPr="004A5495">
              <w:rPr>
                <w:color w:val="auto"/>
              </w:rPr>
              <w:t>Is the capability of the organisation assessed as being able to manage the risk level associated with the activity?</w:t>
            </w:r>
          </w:p>
        </w:tc>
        <w:tc>
          <w:tcPr>
            <w:tcW w:w="3690" w:type="dxa"/>
            <w:shd w:val="clear" w:color="auto" w:fill="D9D9D9" w:themeFill="background1" w:themeFillShade="D9"/>
          </w:tcPr>
          <w:p w14:paraId="571BD7AE"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6EDBB38A"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1A81D1B3" w14:textId="77777777" w:rsidR="004600A4" w:rsidRPr="004A5495" w:rsidRDefault="004600A4" w:rsidP="003D7DCC">
            <w:pPr>
              <w:pStyle w:val="TableText"/>
              <w:rPr>
                <w:color w:val="auto"/>
              </w:rPr>
            </w:pPr>
            <w:r w:rsidRPr="004A5495">
              <w:rPr>
                <w:color w:val="auto"/>
              </w:rPr>
              <w:t>Will the materiality of activity (size, value, scope) have a significant impact on the market?</w:t>
            </w:r>
          </w:p>
        </w:tc>
        <w:tc>
          <w:tcPr>
            <w:tcW w:w="3690" w:type="dxa"/>
          </w:tcPr>
          <w:p w14:paraId="01568291"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7F054756"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7D839E2E" w14:textId="77777777" w:rsidR="004600A4" w:rsidRPr="004A5495" w:rsidRDefault="004600A4" w:rsidP="003D7DCC">
            <w:pPr>
              <w:pStyle w:val="TableText"/>
              <w:rPr>
                <w:color w:val="auto"/>
              </w:rPr>
            </w:pPr>
            <w:r w:rsidRPr="004A5495">
              <w:rPr>
                <w:color w:val="auto"/>
              </w:rPr>
              <w:t>Is the cost to the department in conducting market approach a significant factor in the path to the market selection?</w:t>
            </w:r>
          </w:p>
        </w:tc>
        <w:tc>
          <w:tcPr>
            <w:tcW w:w="3690" w:type="dxa"/>
            <w:shd w:val="clear" w:color="auto" w:fill="D9D9D9" w:themeFill="background1" w:themeFillShade="D9"/>
          </w:tcPr>
          <w:p w14:paraId="3D58496A"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r w:rsidR="004600A4" w14:paraId="7C8EDA4C" w14:textId="77777777" w:rsidTr="003D7DCC">
        <w:tc>
          <w:tcPr>
            <w:cnfStyle w:val="001000000000" w:firstRow="0" w:lastRow="0" w:firstColumn="1" w:lastColumn="0" w:oddVBand="0" w:evenVBand="0" w:oddHBand="0" w:evenHBand="0" w:firstRowFirstColumn="0" w:firstRowLastColumn="0" w:lastRowFirstColumn="0" w:lastRowLastColumn="0"/>
            <w:tcW w:w="6044" w:type="dxa"/>
          </w:tcPr>
          <w:p w14:paraId="088EBAA9" w14:textId="77777777" w:rsidR="004600A4" w:rsidRPr="004A5495" w:rsidRDefault="004600A4" w:rsidP="003D7DCC">
            <w:pPr>
              <w:pStyle w:val="TableText"/>
              <w:rPr>
                <w:color w:val="auto"/>
              </w:rPr>
            </w:pPr>
            <w:r w:rsidRPr="004A5495">
              <w:rPr>
                <w:color w:val="auto"/>
              </w:rPr>
              <w:t>Is cost to suppliers a key factor in the path</w:t>
            </w:r>
            <w:r>
              <w:rPr>
                <w:color w:val="auto"/>
              </w:rPr>
              <w:noBreakHyphen/>
            </w:r>
            <w:r w:rsidRPr="004A5495">
              <w:rPr>
                <w:color w:val="auto"/>
              </w:rPr>
              <w:t>to</w:t>
            </w:r>
            <w:r>
              <w:rPr>
                <w:color w:val="auto"/>
              </w:rPr>
              <w:noBreakHyphen/>
            </w:r>
            <w:r w:rsidRPr="004A5495">
              <w:rPr>
                <w:color w:val="auto"/>
              </w:rPr>
              <w:t>market selection?</w:t>
            </w:r>
          </w:p>
        </w:tc>
        <w:tc>
          <w:tcPr>
            <w:tcW w:w="3690" w:type="dxa"/>
          </w:tcPr>
          <w:p w14:paraId="669BA827" w14:textId="77777777" w:rsidR="004600A4" w:rsidRPr="004A5495" w:rsidRDefault="004600A4" w:rsidP="003D7DCC">
            <w:pPr>
              <w:pStyle w:val="TableText"/>
              <w:cnfStyle w:val="000000000000" w:firstRow="0" w:lastRow="0" w:firstColumn="0" w:lastColumn="0" w:oddVBand="0" w:evenVBand="0" w:oddHBand="0" w:evenHBand="0" w:firstRowFirstColumn="0" w:firstRowLastColumn="0" w:lastRowFirstColumn="0" w:lastRowLastColumn="0"/>
            </w:pPr>
          </w:p>
        </w:tc>
      </w:tr>
      <w:tr w:rsidR="004600A4" w14:paraId="3B6C54E7" w14:textId="77777777" w:rsidTr="003D7D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44" w:type="dxa"/>
            <w:shd w:val="clear" w:color="auto" w:fill="D9D9D9" w:themeFill="background1" w:themeFillShade="D9"/>
          </w:tcPr>
          <w:p w14:paraId="0F5998AA" w14:textId="77777777" w:rsidR="004600A4" w:rsidRPr="004A5495" w:rsidRDefault="004600A4" w:rsidP="003D7DCC">
            <w:pPr>
              <w:pStyle w:val="TableText"/>
              <w:rPr>
                <w:color w:val="auto"/>
              </w:rPr>
            </w:pPr>
            <w:r w:rsidRPr="004A5495">
              <w:rPr>
                <w:color w:val="auto"/>
              </w:rPr>
              <w:t>Do market dynamics, intellectual property, or special purpose vehicle delivery support a limited engagement strategy?</w:t>
            </w:r>
          </w:p>
        </w:tc>
        <w:tc>
          <w:tcPr>
            <w:tcW w:w="3690" w:type="dxa"/>
            <w:shd w:val="clear" w:color="auto" w:fill="D9D9D9" w:themeFill="background1" w:themeFillShade="D9"/>
          </w:tcPr>
          <w:p w14:paraId="7B425964" w14:textId="77777777" w:rsidR="004600A4" w:rsidRPr="004A5495" w:rsidRDefault="004600A4" w:rsidP="003D7DCC">
            <w:pPr>
              <w:pStyle w:val="TableText"/>
              <w:cnfStyle w:val="000000010000" w:firstRow="0" w:lastRow="0" w:firstColumn="0" w:lastColumn="0" w:oddVBand="0" w:evenVBand="0" w:oddHBand="0" w:evenHBand="1" w:firstRowFirstColumn="0" w:firstRowLastColumn="0" w:lastRowFirstColumn="0" w:lastRowLastColumn="0"/>
            </w:pPr>
          </w:p>
        </w:tc>
      </w:tr>
    </w:tbl>
    <w:p w14:paraId="3B08607B" w14:textId="77777777" w:rsidR="008B4764" w:rsidRPr="00741DF4" w:rsidRDefault="008B4764" w:rsidP="00741DF4">
      <w:pPr>
        <w:pStyle w:val="Heading3"/>
        <w:rPr>
          <w:color w:val="7030A0"/>
        </w:rPr>
      </w:pPr>
      <w:r w:rsidRPr="00741DF4">
        <w:rPr>
          <w:color w:val="7030A0"/>
        </w:rPr>
        <w:lastRenderedPageBreak/>
        <w:t>Market submission periods</w:t>
      </w:r>
    </w:p>
    <w:p w14:paraId="4B6A1DE2" w14:textId="77777777" w:rsidR="008B4764" w:rsidRDefault="008B4764" w:rsidP="008B4764">
      <w:r>
        <w:t>Suppliers need sufficient time to prepare their submission taking into account the complexity of the procurement, the scope of information sought from the market, the scope of information required by the market from the organisation and the operation of the market sector relevant to the procurement requirement.</w:t>
      </w:r>
    </w:p>
    <w:p w14:paraId="410940B7" w14:textId="77777777" w:rsidR="00895269" w:rsidRPr="00895269" w:rsidRDefault="00895269" w:rsidP="00895269">
      <w:r w:rsidRPr="00895269">
        <w:t xml:space="preserve">Procurers should resist the temptation to minimise the time period that the Invitation to Supply is open for offers because unduly shortening this element of the schedule </w:t>
      </w:r>
      <w:r w:rsidR="00431277">
        <w:t>creates a barrier</w:t>
      </w:r>
      <w:r w:rsidRPr="00895269">
        <w:t xml:space="preserve">. When the submission period is too short for the nature of the procurement, suppliers may choose not to bid or may submit a </w:t>
      </w:r>
      <w:r>
        <w:t xml:space="preserve">non-compliant, </w:t>
      </w:r>
      <w:r w:rsidRPr="00895269">
        <w:t>incomplete or low quality offer. The Government may consequently miss out on competitive offers or spend considerable extra time conducting clarifications and negotiations.</w:t>
      </w:r>
    </w:p>
    <w:p w14:paraId="1B048F9D" w14:textId="77777777" w:rsidR="008B4764" w:rsidRPr="00741DF4" w:rsidRDefault="003C2DF3" w:rsidP="00957A0D">
      <w:pPr>
        <w:spacing w:before="0" w:after="0" w:line="240" w:lineRule="auto"/>
        <w:rPr>
          <w:b/>
          <w:color w:val="7030A0"/>
        </w:rPr>
      </w:pPr>
      <w:r w:rsidRPr="00741DF4">
        <w:rPr>
          <w:b/>
          <w:color w:val="7030A0"/>
        </w:rPr>
        <w:t>Suggested submission periods</w:t>
      </w:r>
    </w:p>
    <w:p w14:paraId="1906396D" w14:textId="77777777" w:rsidR="008B4A2C" w:rsidRPr="007E4213" w:rsidRDefault="008B4A2C" w:rsidP="00741DF4">
      <w:r w:rsidRPr="008B4764">
        <w:t xml:space="preserve">The </w:t>
      </w:r>
      <w:r>
        <w:t xml:space="preserve">following </w:t>
      </w:r>
      <w:r w:rsidRPr="008B4764">
        <w:t>suggested periods relate to each stage of a multi</w:t>
      </w:r>
      <w:r>
        <w:noBreakHyphen/>
        <w:t>stage market approach:</w:t>
      </w:r>
    </w:p>
    <w:p w14:paraId="1ED5D7B4" w14:textId="7DF3D75F" w:rsidR="008B4764" w:rsidRDefault="008B4764" w:rsidP="00741DF4">
      <w:pPr>
        <w:pStyle w:val="Bullet2"/>
        <w:numPr>
          <w:ilvl w:val="1"/>
          <w:numId w:val="18"/>
        </w:numPr>
        <w:spacing w:before="100" w:after="100"/>
      </w:pPr>
      <w:r>
        <w:t>eight working days for low</w:t>
      </w:r>
      <w:r w:rsidR="00431277">
        <w:t xml:space="preserve"> </w:t>
      </w:r>
      <w:r>
        <w:t>risk</w:t>
      </w:r>
      <w:r w:rsidR="00431277">
        <w:t xml:space="preserve"> and transactional complexity</w:t>
      </w:r>
      <w:r>
        <w:t xml:space="preserve"> procurement activity unless a lesser period is supported by the chief procurement officer;</w:t>
      </w:r>
    </w:p>
    <w:p w14:paraId="0CC0C459" w14:textId="77777777" w:rsidR="008B4764" w:rsidRDefault="008B4764" w:rsidP="00741DF4">
      <w:pPr>
        <w:pStyle w:val="Bullet2"/>
        <w:numPr>
          <w:ilvl w:val="1"/>
          <w:numId w:val="18"/>
        </w:numPr>
        <w:spacing w:before="100" w:after="100"/>
      </w:pPr>
      <w:r>
        <w:t>fifteen working days for medium risk procurement activity generally of a transactional/leveraged level of complexity; and</w:t>
      </w:r>
    </w:p>
    <w:p w14:paraId="5A394766" w14:textId="77777777" w:rsidR="008B4764" w:rsidRDefault="008B4764" w:rsidP="00741DF4">
      <w:pPr>
        <w:pStyle w:val="Bullet2"/>
        <w:numPr>
          <w:ilvl w:val="1"/>
          <w:numId w:val="18"/>
        </w:numPr>
        <w:spacing w:before="100" w:after="100"/>
        <w:ind w:left="714" w:hanging="357"/>
      </w:pPr>
      <w:r>
        <w:t>twenty to twenty</w:t>
      </w:r>
      <w:r w:rsidR="00F71016">
        <w:noBreakHyphen/>
      </w:r>
      <w:r>
        <w:t>five plus (20/25+) working days for higher risk procurement activity of a focused/strategic level of complexity.</w:t>
      </w:r>
    </w:p>
    <w:p w14:paraId="3B0DD968" w14:textId="6DB06452" w:rsidR="007C3F67" w:rsidRDefault="007C3F67" w:rsidP="00741DF4">
      <w:pPr>
        <w:pStyle w:val="Bullet2"/>
        <w:numPr>
          <w:ilvl w:val="0"/>
          <w:numId w:val="0"/>
        </w:numPr>
        <w:spacing w:before="100" w:after="100"/>
      </w:pPr>
      <w:r>
        <w:t xml:space="preserve">Longer periods may be required </w:t>
      </w:r>
      <w:r w:rsidRPr="00C04623">
        <w:rPr>
          <w:bCs/>
        </w:rPr>
        <w:t>if</w:t>
      </w:r>
      <w:r>
        <w:t xml:space="preserve"> an International Agreement applies to the procurement. See </w:t>
      </w:r>
      <w:hyperlink r:id="rId15" w:history="1">
        <w:r w:rsidRPr="00A468C5">
          <w:rPr>
            <w:rStyle w:val="Hyperlink"/>
          </w:rPr>
          <w:t>Government procurement under International Agreements – procurement guide</w:t>
        </w:r>
      </w:hyperlink>
      <w:r w:rsidR="004162EC">
        <w:t xml:space="preserve"> for further information regarding the application</w:t>
      </w:r>
      <w:r w:rsidR="00445F33">
        <w:t xml:space="preserve"> </w:t>
      </w:r>
      <w:r w:rsidR="004162EC">
        <w:t>of International Agreements to government procurement.</w:t>
      </w:r>
    </w:p>
    <w:p w14:paraId="48D31989" w14:textId="361D1E92" w:rsidR="00B860DF" w:rsidRPr="00061FF5" w:rsidRDefault="00B860DF" w:rsidP="00061FF5">
      <w:pPr>
        <w:pStyle w:val="Heading2"/>
        <w:rPr>
          <w:color w:val="7030A0"/>
        </w:rPr>
      </w:pPr>
      <w:r w:rsidRPr="00061FF5">
        <w:rPr>
          <w:color w:val="7030A0"/>
        </w:rPr>
        <w:t>Invitation to supply information</w:t>
      </w:r>
    </w:p>
    <w:p w14:paraId="65876D64" w14:textId="77777777" w:rsidR="00B860DF" w:rsidRDefault="00B860DF" w:rsidP="00B860DF">
      <w:r>
        <w:t xml:space="preserve">Documents (including specifications, </w:t>
      </w:r>
      <w:r w:rsidR="002656EB">
        <w:t>conditions for participation, the contract etc.</w:t>
      </w:r>
      <w:r>
        <w:t>) should be scaled to reflect the complexit</w:t>
      </w:r>
      <w:r w:rsidR="002656EB">
        <w:t>y of the procurement</w:t>
      </w:r>
      <w:r>
        <w:t xml:space="preserve"> and market factors. Core requirements for any market approach should address the following:</w:t>
      </w:r>
    </w:p>
    <w:p w14:paraId="177C8041" w14:textId="77777777" w:rsidR="004162EC" w:rsidRDefault="004162EC" w:rsidP="009B4772">
      <w:pPr>
        <w:pStyle w:val="Bullet2"/>
        <w:numPr>
          <w:ilvl w:val="1"/>
          <w:numId w:val="16"/>
        </w:numPr>
      </w:pPr>
      <w:r>
        <w:t>name, address and contact details</w:t>
      </w:r>
      <w:r w:rsidR="00445F33">
        <w:t xml:space="preserve"> for the procuring prganisation, including the address where relevant documents may be obtained;</w:t>
      </w:r>
    </w:p>
    <w:p w14:paraId="1E50F8CF" w14:textId="77777777" w:rsidR="00B860DF" w:rsidRDefault="00445F33" w:rsidP="009B4772">
      <w:pPr>
        <w:pStyle w:val="Bullet2"/>
        <w:numPr>
          <w:ilvl w:val="1"/>
          <w:numId w:val="16"/>
        </w:numPr>
      </w:pPr>
      <w:r>
        <w:t xml:space="preserve">a description of the procurement, including the nature, </w:t>
      </w:r>
      <w:r w:rsidR="00B860DF">
        <w:t>scope and quantity of goods and services required including outputs required for services or the functional and performance requirements for goods;</w:t>
      </w:r>
    </w:p>
    <w:p w14:paraId="2365E3B5" w14:textId="77777777" w:rsidR="00445F33" w:rsidRDefault="00445F33" w:rsidP="009B4772">
      <w:pPr>
        <w:pStyle w:val="Bullet2"/>
        <w:numPr>
          <w:ilvl w:val="1"/>
          <w:numId w:val="16"/>
        </w:numPr>
      </w:pPr>
      <w:r>
        <w:t>the time-frame for delivery of the goods and services;</w:t>
      </w:r>
    </w:p>
    <w:p w14:paraId="16DD6DAC" w14:textId="77777777" w:rsidR="00B860DF" w:rsidRDefault="00445F33" w:rsidP="009B4772">
      <w:pPr>
        <w:pStyle w:val="Bullet2"/>
        <w:numPr>
          <w:ilvl w:val="1"/>
          <w:numId w:val="16"/>
        </w:numPr>
      </w:pPr>
      <w:r>
        <w:t xml:space="preserve">list </w:t>
      </w:r>
      <w:r w:rsidR="00B860DF">
        <w:t>conditions for participation—ensuring that a potential supplier has the legal, commercial, technical and financial abilities to fulfil the requirements of the procurement</w:t>
      </w:r>
      <w:r w:rsidR="00895269">
        <w:t xml:space="preserve"> (including mandatory requirements for compliance with applicable codes)</w:t>
      </w:r>
      <w:r w:rsidR="00B860DF">
        <w:t>;</w:t>
      </w:r>
    </w:p>
    <w:p w14:paraId="47C52DEF" w14:textId="77777777" w:rsidR="00445F33" w:rsidRDefault="00445F33" w:rsidP="009B4772">
      <w:pPr>
        <w:pStyle w:val="Bullet2"/>
        <w:numPr>
          <w:ilvl w:val="1"/>
          <w:numId w:val="16"/>
        </w:numPr>
      </w:pPr>
      <w:r>
        <w:t>if a selective tendering approach is to be taken, the address and final date for the submission of requests for participation in the procurement;</w:t>
      </w:r>
    </w:p>
    <w:p w14:paraId="72800A7B" w14:textId="77777777" w:rsidR="00445F33" w:rsidRDefault="00445F33" w:rsidP="009B4772">
      <w:pPr>
        <w:pStyle w:val="Bullet2"/>
        <w:numPr>
          <w:ilvl w:val="1"/>
          <w:numId w:val="16"/>
        </w:numPr>
      </w:pPr>
      <w:r>
        <w:t>if only a limited number of qualified suppliers (who have satisfied conditions of participation) are to be invited to tender, the criteria that will be used to select them and, if applicable, any limitation on the number of suppliers that will be permitted to tender;</w:t>
      </w:r>
    </w:p>
    <w:p w14:paraId="351EF6A9" w14:textId="77777777" w:rsidR="00B860DF" w:rsidRDefault="00B860DF" w:rsidP="009B4772">
      <w:pPr>
        <w:pStyle w:val="Bullet2"/>
        <w:numPr>
          <w:ilvl w:val="1"/>
          <w:numId w:val="16"/>
        </w:numPr>
      </w:pPr>
      <w:r>
        <w:t>information and documents to be submitted by suppliers</w:t>
      </w:r>
      <w:r w:rsidR="00445F33">
        <w:t xml:space="preserve"> (including in connection with the conditions of participation)</w:t>
      </w:r>
      <w:r>
        <w:t>;</w:t>
      </w:r>
    </w:p>
    <w:p w14:paraId="7FE99379" w14:textId="77777777" w:rsidR="00B860DF" w:rsidRDefault="00B860DF" w:rsidP="009B4772">
      <w:pPr>
        <w:pStyle w:val="Bullet2"/>
        <w:numPr>
          <w:ilvl w:val="1"/>
          <w:numId w:val="16"/>
        </w:numPr>
      </w:pPr>
      <w:r>
        <w:t>criteria for evaluating responses and the evaluation process;</w:t>
      </w:r>
    </w:p>
    <w:p w14:paraId="3ECB803E" w14:textId="77777777" w:rsidR="00B860DF" w:rsidRDefault="00B860DF" w:rsidP="009B4772">
      <w:pPr>
        <w:pStyle w:val="Bullet2"/>
        <w:numPr>
          <w:ilvl w:val="1"/>
          <w:numId w:val="16"/>
        </w:numPr>
      </w:pPr>
      <w:r>
        <w:t>the importance given to different criteria (if relevant);</w:t>
      </w:r>
    </w:p>
    <w:p w14:paraId="2003AAF5" w14:textId="77777777" w:rsidR="00B860DF" w:rsidRDefault="00B860DF" w:rsidP="009B4772">
      <w:pPr>
        <w:pStyle w:val="Bullet2"/>
        <w:numPr>
          <w:ilvl w:val="1"/>
          <w:numId w:val="16"/>
        </w:numPr>
      </w:pPr>
      <w:r>
        <w:t>delivery/submission/lodgement instructions</w:t>
      </w:r>
      <w:r w:rsidR="006B32D6">
        <w:t xml:space="preserve"> (including the date, time and place for any public opening of tenders (if applicable) and time-limits for submission of tenders</w:t>
      </w:r>
      <w:r>
        <w:t>;</w:t>
      </w:r>
    </w:p>
    <w:p w14:paraId="47C24A13" w14:textId="77777777" w:rsidR="00B860DF" w:rsidRDefault="00B860DF" w:rsidP="009B4772">
      <w:pPr>
        <w:pStyle w:val="Bullet2"/>
        <w:numPr>
          <w:ilvl w:val="1"/>
          <w:numId w:val="16"/>
        </w:numPr>
      </w:pPr>
      <w:r>
        <w:t>project contact person and governance/management arrangement;</w:t>
      </w:r>
    </w:p>
    <w:p w14:paraId="03A0A947" w14:textId="77777777" w:rsidR="00B860DF" w:rsidRDefault="00B860DF" w:rsidP="009B4772">
      <w:pPr>
        <w:pStyle w:val="Bullet2"/>
        <w:numPr>
          <w:ilvl w:val="1"/>
          <w:numId w:val="16"/>
        </w:numPr>
      </w:pPr>
      <w:r>
        <w:lastRenderedPageBreak/>
        <w:t>detailing preferred levels of liability, indemnity and ownership of intellectual property;</w:t>
      </w:r>
    </w:p>
    <w:p w14:paraId="458AAB43" w14:textId="77777777" w:rsidR="00B860DF" w:rsidRDefault="00B860DF" w:rsidP="009B4772">
      <w:pPr>
        <w:pStyle w:val="Bullet2"/>
        <w:numPr>
          <w:ilvl w:val="1"/>
          <w:numId w:val="16"/>
        </w:numPr>
      </w:pPr>
      <w:r>
        <w:t>project briefing opportunities;</w:t>
      </w:r>
    </w:p>
    <w:p w14:paraId="73D8F218" w14:textId="77777777" w:rsidR="006B32D6" w:rsidRDefault="006B32D6" w:rsidP="009B4772">
      <w:pPr>
        <w:pStyle w:val="Bullet2"/>
        <w:numPr>
          <w:ilvl w:val="1"/>
          <w:numId w:val="16"/>
        </w:numPr>
      </w:pPr>
      <w:r>
        <w:t>procurement method to be used (for example, open or selective tendering or electronic auction), including whether it will involve negotiation and any encryption requirements for electronic procurement methods;</w:t>
      </w:r>
    </w:p>
    <w:p w14:paraId="64CC6ADE" w14:textId="77777777" w:rsidR="00B860DF" w:rsidRDefault="00B860DF" w:rsidP="009B4772">
      <w:pPr>
        <w:pStyle w:val="Bullet2"/>
        <w:numPr>
          <w:ilvl w:val="1"/>
          <w:numId w:val="16"/>
        </w:numPr>
      </w:pPr>
      <w:r>
        <w:t>contract type to be used;</w:t>
      </w:r>
    </w:p>
    <w:p w14:paraId="112CB313" w14:textId="77777777" w:rsidR="00B860DF" w:rsidRDefault="00B860DF" w:rsidP="009B4772">
      <w:pPr>
        <w:pStyle w:val="Bullet2"/>
        <w:numPr>
          <w:ilvl w:val="1"/>
          <w:numId w:val="16"/>
        </w:numPr>
      </w:pPr>
      <w:r>
        <w:t>encouraging innovative solutions that contribute to the organisation’s ability to carry out its business in a more cost</w:t>
      </w:r>
      <w:r w:rsidR="00F71016">
        <w:noBreakHyphen/>
      </w:r>
      <w:r>
        <w:t>effective manner;</w:t>
      </w:r>
    </w:p>
    <w:p w14:paraId="7ADE8D02" w14:textId="77777777" w:rsidR="00B860DF" w:rsidRDefault="00B860DF" w:rsidP="006B32D6">
      <w:pPr>
        <w:pStyle w:val="Bullet2"/>
        <w:numPr>
          <w:ilvl w:val="1"/>
          <w:numId w:val="16"/>
        </w:numPr>
      </w:pPr>
      <w:r>
        <w:t>reporting on generic requirements or against KPIs, environmental factors, etc;</w:t>
      </w:r>
      <w:r w:rsidR="006A5C59">
        <w:t xml:space="preserve"> </w:t>
      </w:r>
      <w:r>
        <w:t>supply chain relationships (if relevant)</w:t>
      </w:r>
      <w:r w:rsidR="006B32D6">
        <w:t>;</w:t>
      </w:r>
    </w:p>
    <w:p w14:paraId="46D46CE7" w14:textId="77777777" w:rsidR="006B32D6" w:rsidRDefault="006B32D6" w:rsidP="006B32D6">
      <w:pPr>
        <w:pStyle w:val="Bullet2"/>
        <w:numPr>
          <w:ilvl w:val="1"/>
          <w:numId w:val="16"/>
        </w:numPr>
      </w:pPr>
      <w:r>
        <w:t>for recurring contracts, an estimate, if possible, of the timing of subsequent notices of intended procurement;</w:t>
      </w:r>
    </w:p>
    <w:p w14:paraId="5E62B867" w14:textId="77777777" w:rsidR="006B32D6" w:rsidRDefault="006B32D6" w:rsidP="006B32D6">
      <w:pPr>
        <w:pStyle w:val="Bullet2"/>
        <w:numPr>
          <w:ilvl w:val="1"/>
          <w:numId w:val="16"/>
        </w:numPr>
      </w:pPr>
      <w:r>
        <w:t>the language or languages in which tenders or requests for participation may be submitted, if other than English;</w:t>
      </w:r>
    </w:p>
    <w:p w14:paraId="0C492322" w14:textId="77777777" w:rsidR="006B32D6" w:rsidRDefault="006B32D6" w:rsidP="006B32D6">
      <w:pPr>
        <w:pStyle w:val="Bullet2"/>
        <w:numPr>
          <w:ilvl w:val="1"/>
          <w:numId w:val="16"/>
        </w:numPr>
      </w:pPr>
      <w:r>
        <w:t>a description of any options;</w:t>
      </w:r>
    </w:p>
    <w:p w14:paraId="6CD58F6A" w14:textId="77777777" w:rsidR="006B32D6" w:rsidRDefault="006B32D6" w:rsidP="006B32D6">
      <w:pPr>
        <w:pStyle w:val="Bullet2"/>
        <w:numPr>
          <w:ilvl w:val="1"/>
          <w:numId w:val="16"/>
        </w:numPr>
      </w:pPr>
      <w:r>
        <w:t>any other terms or conditions relevant to the evaluation of tenders, including the intention to negotiate; and</w:t>
      </w:r>
    </w:p>
    <w:p w14:paraId="57EBBAF6" w14:textId="77777777" w:rsidR="006B32D6" w:rsidRDefault="006B32D6" w:rsidP="006B32D6">
      <w:pPr>
        <w:pStyle w:val="Bullet2"/>
        <w:numPr>
          <w:ilvl w:val="1"/>
          <w:numId w:val="16"/>
        </w:numPr>
      </w:pPr>
      <w:r>
        <w:t>indication that the procurement is covered by any relevant International Agreement.</w:t>
      </w:r>
    </w:p>
    <w:p w14:paraId="3364CB8C" w14:textId="77777777" w:rsidR="00B860DF" w:rsidRPr="00061FF5" w:rsidRDefault="00B860DF" w:rsidP="00061FF5">
      <w:pPr>
        <w:pStyle w:val="Heading2"/>
        <w:rPr>
          <w:color w:val="7030A0"/>
        </w:rPr>
      </w:pPr>
      <w:r w:rsidRPr="00061FF5">
        <w:rPr>
          <w:color w:val="7030A0"/>
        </w:rPr>
        <w:t xml:space="preserve">Proceeding with an open invitation to supply </w:t>
      </w:r>
    </w:p>
    <w:p w14:paraId="3CE1938D" w14:textId="77777777" w:rsidR="00B860DF" w:rsidRDefault="0000151F" w:rsidP="00B860DF">
      <w:r>
        <w:t>A thorough market analysis should inform the most</w:t>
      </w:r>
      <w:r w:rsidR="00B57338">
        <w:t xml:space="preserve"> </w:t>
      </w:r>
      <w:r>
        <w:t xml:space="preserve">suitable </w:t>
      </w:r>
      <w:r w:rsidR="00DF04D0">
        <w:t>methodology for advertising the invitation to supply. The methodology for advertising</w:t>
      </w:r>
      <w:r w:rsidR="00431277">
        <w:t xml:space="preserve"> </w:t>
      </w:r>
      <w:r w:rsidR="00DF04D0">
        <w:t>should give</w:t>
      </w:r>
      <w:r w:rsidR="00B57338">
        <w:t xml:space="preserve"> consideration to </w:t>
      </w:r>
      <w:r w:rsidR="00E9382C">
        <w:t xml:space="preserve">its </w:t>
      </w:r>
      <w:r w:rsidR="00B57338">
        <w:t xml:space="preserve">cost and </w:t>
      </w:r>
      <w:r w:rsidR="00DF04D0">
        <w:t xml:space="preserve">the </w:t>
      </w:r>
      <w:r w:rsidR="00B57338">
        <w:t>effectiveness</w:t>
      </w:r>
      <w:r w:rsidR="00517A94">
        <w:t xml:space="preserve">. </w:t>
      </w:r>
      <w:r w:rsidR="00DF04D0">
        <w:t>Met</w:t>
      </w:r>
      <w:r w:rsidR="006F234C">
        <w:t>hods of advertising may include</w:t>
      </w:r>
      <w:r w:rsidR="00E9382C">
        <w:t xml:space="preserve"> </w:t>
      </w:r>
      <w:r w:rsidR="00B860DF">
        <w:t>posting a notification of the procurement requirement</w:t>
      </w:r>
      <w:r w:rsidR="00DF04D0">
        <w:t>s</w:t>
      </w:r>
      <w:r w:rsidR="006F234C">
        <w:t>:</w:t>
      </w:r>
    </w:p>
    <w:p w14:paraId="34E64BF5" w14:textId="77777777" w:rsidR="00AB3DD8" w:rsidRDefault="00AB3DD8" w:rsidP="00AB3DD8">
      <w:pPr>
        <w:pStyle w:val="Bullet2"/>
        <w:numPr>
          <w:ilvl w:val="1"/>
          <w:numId w:val="16"/>
        </w:numPr>
      </w:pPr>
      <w:r>
        <w:t>in the organisation’s Procurement Activity Plan;</w:t>
      </w:r>
    </w:p>
    <w:p w14:paraId="01FCD7A4" w14:textId="77777777" w:rsidR="00497F91" w:rsidRDefault="00497F91" w:rsidP="00497F91">
      <w:pPr>
        <w:pStyle w:val="Bullet2"/>
        <w:numPr>
          <w:ilvl w:val="1"/>
          <w:numId w:val="16"/>
        </w:numPr>
      </w:pPr>
      <w:r>
        <w:t xml:space="preserve">on the </w:t>
      </w:r>
      <w:hyperlink r:id="rId16" w:history="1">
        <w:r w:rsidRPr="00375188">
          <w:rPr>
            <w:rStyle w:val="Hyperlink"/>
          </w:rPr>
          <w:t>Victorian Government Tenders website</w:t>
        </w:r>
      </w:hyperlink>
      <w:r>
        <w:t>;</w:t>
      </w:r>
    </w:p>
    <w:p w14:paraId="5BE955B0" w14:textId="77777777" w:rsidR="00497F91" w:rsidRDefault="00B860DF" w:rsidP="00497F91">
      <w:pPr>
        <w:pStyle w:val="Bullet2"/>
        <w:numPr>
          <w:ilvl w:val="1"/>
          <w:numId w:val="16"/>
        </w:numPr>
      </w:pPr>
      <w:r>
        <w:t>a market trade</w:t>
      </w:r>
      <w:r w:rsidR="00F71016">
        <w:noBreakHyphen/>
      </w:r>
      <w:r>
        <w:t>related medium, if this will increase the potential supplier base</w:t>
      </w:r>
      <w:r w:rsidR="00B57338">
        <w:t>; and</w:t>
      </w:r>
    </w:p>
    <w:p w14:paraId="21893A1A" w14:textId="77777777" w:rsidR="005558AF" w:rsidRDefault="006F234C" w:rsidP="00497F91">
      <w:pPr>
        <w:pStyle w:val="Bullet2"/>
        <w:numPr>
          <w:ilvl w:val="1"/>
          <w:numId w:val="16"/>
        </w:numPr>
      </w:pPr>
      <w:r w:rsidRPr="00375188">
        <w:t>via other forms of media as identified through the market analysis.</w:t>
      </w:r>
    </w:p>
    <w:p w14:paraId="5323DCB7" w14:textId="77777777" w:rsidR="00B860DF" w:rsidRPr="00061FF5" w:rsidRDefault="00B860DF" w:rsidP="003C2DF3">
      <w:pPr>
        <w:pStyle w:val="Heading2"/>
        <w:rPr>
          <w:color w:val="7030A0"/>
        </w:rPr>
      </w:pPr>
      <w:r w:rsidRPr="00061FF5">
        <w:rPr>
          <w:color w:val="7030A0"/>
        </w:rPr>
        <w:t>Informing suppliers during the process</w:t>
      </w:r>
    </w:p>
    <w:p w14:paraId="21D72AAE" w14:textId="77777777" w:rsidR="00B860DF" w:rsidRDefault="00B860DF" w:rsidP="00B860DF">
      <w:r>
        <w:t>As a minimum, suppliers should be informed that their submission has been received, whether or not they have been shortlisted (if a process step)</w:t>
      </w:r>
      <w:r w:rsidR="006B32D6">
        <w:t xml:space="preserve"> and the outcome of the tender process</w:t>
      </w:r>
      <w:r>
        <w:t>.</w:t>
      </w:r>
    </w:p>
    <w:p w14:paraId="568D12A7" w14:textId="77777777" w:rsidR="00B860DF" w:rsidRDefault="00B860DF" w:rsidP="00B860DF">
      <w:r>
        <w:t>Procurement activity with a long period for assessment or with a high degree of complexity should (where relevant) inform suppliers of:</w:t>
      </w:r>
    </w:p>
    <w:p w14:paraId="7D116868" w14:textId="77777777" w:rsidR="00B860DF" w:rsidRDefault="00B860DF" w:rsidP="009B4772">
      <w:pPr>
        <w:pStyle w:val="Bullet2"/>
        <w:numPr>
          <w:ilvl w:val="1"/>
          <w:numId w:val="14"/>
        </w:numPr>
      </w:pPr>
      <w:r>
        <w:t>the processes for managing clarification of issues and conduct of negotiations;</w:t>
      </w:r>
    </w:p>
    <w:p w14:paraId="1FDF5286" w14:textId="77777777" w:rsidR="00B860DF" w:rsidRDefault="00B860DF" w:rsidP="009B4772">
      <w:pPr>
        <w:pStyle w:val="Bullet2"/>
        <w:numPr>
          <w:ilvl w:val="1"/>
          <w:numId w:val="14"/>
        </w:numPr>
      </w:pPr>
      <w:r>
        <w:t xml:space="preserve">the estimated period for conducting certain process stages, i.e. shortlisting, project briefing, process conclusion; </w:t>
      </w:r>
    </w:p>
    <w:p w14:paraId="556D9228" w14:textId="77777777" w:rsidR="00B860DF" w:rsidRDefault="00B860DF" w:rsidP="009B4772">
      <w:pPr>
        <w:pStyle w:val="Bullet2"/>
        <w:numPr>
          <w:ilvl w:val="1"/>
          <w:numId w:val="14"/>
        </w:numPr>
      </w:pPr>
      <w:r>
        <w:t>how the outcome of the process will be communicated; and</w:t>
      </w:r>
    </w:p>
    <w:p w14:paraId="678CDA33" w14:textId="77777777" w:rsidR="005558AF" w:rsidRDefault="00B860DF" w:rsidP="001905BD">
      <w:pPr>
        <w:pStyle w:val="Bullet2"/>
        <w:numPr>
          <w:ilvl w:val="1"/>
          <w:numId w:val="14"/>
        </w:numPr>
      </w:pPr>
      <w:r>
        <w:t>outcome of the selection process.</w:t>
      </w:r>
    </w:p>
    <w:p w14:paraId="72785661" w14:textId="77777777" w:rsidR="00B860DF" w:rsidRPr="00061FF5" w:rsidRDefault="00B860DF" w:rsidP="003C2DF3">
      <w:pPr>
        <w:pStyle w:val="Heading2"/>
        <w:rPr>
          <w:color w:val="7030A0"/>
        </w:rPr>
      </w:pPr>
      <w:r w:rsidRPr="00061FF5">
        <w:rPr>
          <w:color w:val="7030A0"/>
        </w:rPr>
        <w:t>Managing change to published process</w:t>
      </w:r>
    </w:p>
    <w:p w14:paraId="0D96B95C" w14:textId="77777777" w:rsidR="005558AF" w:rsidRDefault="00B860DF" w:rsidP="00632984">
      <w:r>
        <w:t>Changing market approach documentation (e.g. specifications, scope of requirements, conditions for participation or management arrangements, etc.) needs to be considered with care given that conditions for a process contract may have been established.</w:t>
      </w:r>
    </w:p>
    <w:p w14:paraId="6A51A41C" w14:textId="77777777" w:rsidR="003C2DF3" w:rsidRDefault="003C2DF3" w:rsidP="00061FF5">
      <w:r>
        <w:t>Considerations</w:t>
      </w:r>
    </w:p>
    <w:p w14:paraId="5911AE05" w14:textId="20113EE7" w:rsidR="00B860DF" w:rsidRDefault="00B860DF" w:rsidP="009B4772">
      <w:pPr>
        <w:pStyle w:val="Bullet2"/>
        <w:numPr>
          <w:ilvl w:val="1"/>
          <w:numId w:val="13"/>
        </w:numPr>
      </w:pPr>
      <w:r>
        <w:t>The original intent/desired outcome of the procurement should remain the same</w:t>
      </w:r>
      <w:r w:rsidR="00F71016">
        <w:t>.</w:t>
      </w:r>
    </w:p>
    <w:p w14:paraId="164DEC95" w14:textId="77777777" w:rsidR="00B860DF" w:rsidRDefault="00B860DF" w:rsidP="009B4772">
      <w:pPr>
        <w:pStyle w:val="Bullet2"/>
        <w:numPr>
          <w:ilvl w:val="1"/>
          <w:numId w:val="13"/>
        </w:numPr>
      </w:pPr>
      <w:r>
        <w:t xml:space="preserve">Inform all parties invited or registered to participate in the changes. </w:t>
      </w:r>
    </w:p>
    <w:p w14:paraId="4679BFC9" w14:textId="77777777" w:rsidR="00B860DF" w:rsidRDefault="00B860DF" w:rsidP="009B4772">
      <w:pPr>
        <w:pStyle w:val="Bullet2"/>
        <w:numPr>
          <w:ilvl w:val="1"/>
          <w:numId w:val="13"/>
        </w:numPr>
      </w:pPr>
      <w:r>
        <w:t>Provide all parties with the same information.</w:t>
      </w:r>
    </w:p>
    <w:p w14:paraId="47BF4993" w14:textId="77777777" w:rsidR="00B860DF" w:rsidRDefault="00B860DF" w:rsidP="009B4772">
      <w:pPr>
        <w:pStyle w:val="Bullet2"/>
        <w:numPr>
          <w:ilvl w:val="1"/>
          <w:numId w:val="13"/>
        </w:numPr>
      </w:pPr>
      <w:r>
        <w:t>Give sufficient time to respond to changes.</w:t>
      </w:r>
    </w:p>
    <w:p w14:paraId="10767827" w14:textId="77777777" w:rsidR="00B860DF" w:rsidRDefault="00B860DF" w:rsidP="009B4772">
      <w:pPr>
        <w:pStyle w:val="Bullet2"/>
        <w:numPr>
          <w:ilvl w:val="1"/>
          <w:numId w:val="13"/>
        </w:numPr>
      </w:pPr>
      <w:r>
        <w:lastRenderedPageBreak/>
        <w:t>Changes should not favour or disadvantage a particular party.</w:t>
      </w:r>
    </w:p>
    <w:p w14:paraId="2BEC2B4A" w14:textId="77777777" w:rsidR="00B860DF" w:rsidRDefault="00B860DF" w:rsidP="009B4772">
      <w:pPr>
        <w:pStyle w:val="Bullet2"/>
        <w:numPr>
          <w:ilvl w:val="1"/>
          <w:numId w:val="13"/>
        </w:numPr>
      </w:pPr>
      <w:r>
        <w:t>Maintain standards of probity and integrity.</w:t>
      </w:r>
    </w:p>
    <w:p w14:paraId="04F6DC4B" w14:textId="441F47AA" w:rsidR="00061FF5" w:rsidRPr="00061FF5" w:rsidRDefault="00061FF5" w:rsidP="00061FF5">
      <w:pPr>
        <w:pStyle w:val="Heading2"/>
        <w:rPr>
          <w:color w:val="7030A0"/>
        </w:rPr>
      </w:pPr>
      <w:r w:rsidRPr="00061FF5">
        <w:rPr>
          <w:color w:val="7030A0"/>
        </w:rPr>
        <w:t>Using this guide</w:t>
      </w:r>
    </w:p>
    <w:p w14:paraId="1FE195B0" w14:textId="73292EA3" w:rsidR="00061FF5" w:rsidRPr="00D879F1" w:rsidRDefault="00061FF5" w:rsidP="00061FF5">
      <w:r w:rsidRPr="00D879F1">
        <w:t xml:space="preserve">This guide accompanies the </w:t>
      </w:r>
      <w:hyperlink r:id="rId17" w:history="1">
        <w:r w:rsidRPr="00A468C5">
          <w:rPr>
            <w:rStyle w:val="Hyperlink"/>
          </w:rPr>
          <w:t>goods and services supply policies</w:t>
        </w:r>
      </w:hyperlink>
      <w:r w:rsidRPr="00D879F1">
        <w:t>. There are 5 supplies policies:</w:t>
      </w:r>
    </w:p>
    <w:p w14:paraId="2C385456" w14:textId="77777777" w:rsidR="00061FF5" w:rsidRPr="00D879F1" w:rsidRDefault="00061FF5" w:rsidP="00061FF5">
      <w:pPr>
        <w:pStyle w:val="ListParagraph"/>
        <w:numPr>
          <w:ilvl w:val="0"/>
          <w:numId w:val="37"/>
        </w:numPr>
      </w:pPr>
      <w:r w:rsidRPr="00D879F1">
        <w:t>Governance policy</w:t>
      </w:r>
    </w:p>
    <w:p w14:paraId="08082117" w14:textId="77777777" w:rsidR="00061FF5" w:rsidRPr="00D879F1" w:rsidRDefault="00061FF5" w:rsidP="00061FF5">
      <w:pPr>
        <w:pStyle w:val="ListParagraph"/>
        <w:numPr>
          <w:ilvl w:val="0"/>
          <w:numId w:val="37"/>
        </w:numPr>
      </w:pPr>
      <w:r w:rsidRPr="00D879F1">
        <w:t xml:space="preserve">Complexity and capability </w:t>
      </w:r>
      <w:r>
        <w:t xml:space="preserve">assessment </w:t>
      </w:r>
      <w:r w:rsidRPr="00D879F1">
        <w:t>policy</w:t>
      </w:r>
    </w:p>
    <w:p w14:paraId="3AEA2B86" w14:textId="77777777" w:rsidR="00061FF5" w:rsidRPr="00D879F1" w:rsidRDefault="00061FF5" w:rsidP="00061FF5">
      <w:pPr>
        <w:pStyle w:val="ListParagraph"/>
        <w:numPr>
          <w:ilvl w:val="0"/>
          <w:numId w:val="37"/>
        </w:numPr>
      </w:pPr>
      <w:r w:rsidRPr="00D879F1">
        <w:t>Market analysis and review policy</w:t>
      </w:r>
    </w:p>
    <w:p w14:paraId="4494880D" w14:textId="77777777" w:rsidR="00061FF5" w:rsidRPr="00D879F1" w:rsidRDefault="00061FF5" w:rsidP="00061FF5">
      <w:pPr>
        <w:pStyle w:val="ListParagraph"/>
        <w:numPr>
          <w:ilvl w:val="0"/>
          <w:numId w:val="37"/>
        </w:numPr>
      </w:pPr>
      <w:r w:rsidRPr="00D879F1">
        <w:t>Market approach policy</w:t>
      </w:r>
    </w:p>
    <w:p w14:paraId="1134226F" w14:textId="77777777" w:rsidR="00061FF5" w:rsidRPr="00D879F1" w:rsidRDefault="00061FF5" w:rsidP="00061FF5">
      <w:pPr>
        <w:pStyle w:val="ListParagraph"/>
        <w:numPr>
          <w:ilvl w:val="0"/>
          <w:numId w:val="37"/>
        </w:numPr>
      </w:pPr>
      <w:r w:rsidRPr="00D879F1">
        <w:t>Contract management and disclosure policy</w:t>
      </w:r>
    </w:p>
    <w:p w14:paraId="1819A949" w14:textId="15ECDD33" w:rsidR="00061FF5" w:rsidRPr="00D879F1" w:rsidRDefault="00061FF5" w:rsidP="00061FF5">
      <w:r w:rsidRPr="00D879F1">
        <w:t xml:space="preserve">This guide supports the </w:t>
      </w:r>
      <w:hyperlink r:id="rId18" w:history="1">
        <w:r w:rsidRPr="00A468C5">
          <w:rPr>
            <w:rStyle w:val="Hyperlink"/>
          </w:rPr>
          <w:t>Market approach policy.</w:t>
        </w:r>
      </w:hyperlink>
    </w:p>
    <w:p w14:paraId="4404A022" w14:textId="20F71FBE" w:rsidR="00061FF5" w:rsidRPr="00984C88" w:rsidRDefault="00061FF5" w:rsidP="00061FF5">
      <w:pPr>
        <w:spacing w:after="120" w:line="240" w:lineRule="auto"/>
      </w:pPr>
      <w:r w:rsidRPr="00984C88">
        <w:t xml:space="preserve">The </w:t>
      </w:r>
      <w:hyperlink r:id="rId19" w:history="1">
        <w:r w:rsidRPr="00A468C5">
          <w:rPr>
            <w:rStyle w:val="Hyperlink"/>
          </w:rPr>
          <w:t>Supplier Code of Conduct</w:t>
        </w:r>
      </w:hyperlink>
      <w:r w:rsidRPr="00984C88">
        <w:t xml:space="preserve"> applies to all procurement from 1 July 2017</w:t>
      </w:r>
    </w:p>
    <w:p w14:paraId="00801F9B" w14:textId="06CC901F" w:rsidR="00061FF5" w:rsidRPr="00D63888" w:rsidRDefault="00061FF5" w:rsidP="00061FF5">
      <w:pPr>
        <w:spacing w:after="120" w:line="240" w:lineRule="auto"/>
      </w:pPr>
      <w:r w:rsidRPr="00D63888">
        <w:t xml:space="preserve">For procurement of </w:t>
      </w:r>
      <w:hyperlink r:id="rId20" w:history="1">
        <w:r w:rsidRPr="00A468C5">
          <w:rPr>
            <w:rStyle w:val="Hyperlink"/>
          </w:rPr>
          <w:t>Information, Communication and Technology (ICT) goods and services</w:t>
        </w:r>
      </w:hyperlink>
      <w:r w:rsidR="00A468C5">
        <w:t>.</w:t>
      </w:r>
    </w:p>
    <w:p w14:paraId="4E493C53" w14:textId="42D3FA0A" w:rsidR="00061FF5" w:rsidRPr="00D63888" w:rsidRDefault="00317C4B" w:rsidP="00061FF5">
      <w:pPr>
        <w:spacing w:after="120" w:line="240" w:lineRule="auto"/>
        <w:rPr>
          <w:rStyle w:val="Hyperlink"/>
          <w:color w:val="auto"/>
        </w:rPr>
      </w:pPr>
      <w:hyperlink r:id="rId21" w:history="1">
        <w:r w:rsidR="00061FF5" w:rsidRPr="00A468C5">
          <w:rPr>
            <w:rStyle w:val="Hyperlink"/>
          </w:rPr>
          <w:t>Local Jobs First Policy (LJF)</w:t>
        </w:r>
      </w:hyperlink>
      <w:r w:rsidR="00061FF5" w:rsidRPr="00D63888">
        <w:t xml:space="preserve"> – LJF comprises the Victorian Industry Participation Policy (VIPP) and the Major Projects Skills Guarantee (MPSG) and may be applicable to your procurement.</w:t>
      </w:r>
    </w:p>
    <w:p w14:paraId="6A9C0CC6" w14:textId="35DC9E8C" w:rsidR="00061FF5" w:rsidRPr="00D63888" w:rsidRDefault="00061FF5" w:rsidP="00061FF5">
      <w:pPr>
        <w:spacing w:after="120" w:line="240" w:lineRule="auto"/>
        <w:rPr>
          <w:rFonts w:cstheme="minorHAnsi"/>
        </w:rPr>
      </w:pPr>
      <w:r w:rsidRPr="00D63888">
        <w:t xml:space="preserve">The </w:t>
      </w:r>
      <w:hyperlink r:id="rId22" w:history="1">
        <w:r w:rsidRPr="00C8089C">
          <w:rPr>
            <w:rStyle w:val="Hyperlink"/>
          </w:rPr>
          <w:t>Victorian Government Call Centre Code</w:t>
        </w:r>
      </w:hyperlink>
      <w:r w:rsidRPr="00D63888">
        <w:t xml:space="preserve"> applies to procurement involving call centre operations.</w:t>
      </w:r>
    </w:p>
    <w:p w14:paraId="76BA1DB5" w14:textId="77777777" w:rsidR="00EF7B20" w:rsidRDefault="00EF7B20">
      <w:pPr>
        <w:spacing w:before="0" w:after="0" w:line="240" w:lineRule="auto"/>
        <w:rPr>
          <w:rFonts w:cstheme="minorHAnsi"/>
        </w:rPr>
      </w:pPr>
      <w:r>
        <w:rPr>
          <w:rFonts w:cstheme="minorHAnsi"/>
        </w:rPr>
        <w:br w:type="page"/>
      </w:r>
    </w:p>
    <w:p w14:paraId="59DA5DCB" w14:textId="5D12A0B6" w:rsidR="00061FF5" w:rsidRPr="0014189E" w:rsidRDefault="00061FF5" w:rsidP="00061FF5">
      <w:pPr>
        <w:spacing w:after="120" w:line="240" w:lineRule="auto"/>
        <w:rPr>
          <w:rFonts w:cstheme="minorHAnsi"/>
        </w:rPr>
      </w:pPr>
    </w:p>
    <w:p w14:paraId="47B68B8B" w14:textId="41142BC3" w:rsidR="00061FF5" w:rsidRDefault="00061FF5" w:rsidP="00B860DF"/>
    <w:p w14:paraId="3DDFB0A1" w14:textId="53D314B0" w:rsidR="00061FF5" w:rsidRDefault="00061FF5" w:rsidP="00B860DF"/>
    <w:p w14:paraId="63CD8E09" w14:textId="5FCED0E6" w:rsidR="00EF7B20" w:rsidRDefault="00EF7B20" w:rsidP="00B860DF"/>
    <w:p w14:paraId="1C30FB65" w14:textId="1E29247D" w:rsidR="00EF7B20" w:rsidRDefault="00EF7B20" w:rsidP="00B860DF"/>
    <w:p w14:paraId="2B699E3C" w14:textId="0DE840F0" w:rsidR="00EF7B20" w:rsidRDefault="00EF7B20" w:rsidP="00B860DF"/>
    <w:p w14:paraId="220FE233" w14:textId="56657C0B" w:rsidR="00EF7B20" w:rsidRDefault="00EF7B20" w:rsidP="00B860DF"/>
    <w:p w14:paraId="0E5490B5" w14:textId="5D403A02" w:rsidR="00EF7B20" w:rsidRDefault="00EF7B20" w:rsidP="00B860DF"/>
    <w:p w14:paraId="03FE38CB" w14:textId="4AD583F6" w:rsidR="00EF7B20" w:rsidRDefault="00EF7B20" w:rsidP="00B860DF"/>
    <w:p w14:paraId="7C344164" w14:textId="7BBD8F0A" w:rsidR="00EF7B20" w:rsidRDefault="00EF7B20" w:rsidP="00B860DF"/>
    <w:p w14:paraId="32255A43" w14:textId="5E0477E8" w:rsidR="00EF7B20" w:rsidRDefault="00EF7B20" w:rsidP="00B860DF"/>
    <w:p w14:paraId="6C78E8A1" w14:textId="75815129" w:rsidR="00EF7B20" w:rsidRDefault="00EF7B20" w:rsidP="00B860DF"/>
    <w:p w14:paraId="7D1388A7" w14:textId="716E6B1F" w:rsidR="00EF7B20" w:rsidRDefault="00EF7B20" w:rsidP="00B860DF"/>
    <w:p w14:paraId="3410793A" w14:textId="77076E60" w:rsidR="00EF7B20" w:rsidRDefault="00EF7B20" w:rsidP="00B860DF"/>
    <w:p w14:paraId="73223D93" w14:textId="03A13567" w:rsidR="00EF7B20" w:rsidRDefault="00EF7B20" w:rsidP="00B860DF"/>
    <w:p w14:paraId="5A8A73C7" w14:textId="0C887E73" w:rsidR="00EF7B20" w:rsidRDefault="00EF7B20" w:rsidP="00B860DF"/>
    <w:p w14:paraId="6B67BD7E" w14:textId="05DD8210" w:rsidR="00EF7B20" w:rsidRDefault="00EF7B20" w:rsidP="00B860DF"/>
    <w:p w14:paraId="1DD359E2" w14:textId="2EAC5EFA" w:rsidR="00EF7B20" w:rsidRDefault="00EF7B20" w:rsidP="00B860DF"/>
    <w:p w14:paraId="25C47623" w14:textId="7CF4E3F8" w:rsidR="00EF7B20" w:rsidRDefault="00EF7B20" w:rsidP="00B860DF"/>
    <w:p w14:paraId="59DA9754" w14:textId="31EC63A2" w:rsidR="00EF7B20" w:rsidRDefault="00EF7B20" w:rsidP="00B860DF"/>
    <w:p w14:paraId="54B709D4" w14:textId="0D00EAE7" w:rsidR="00EF7B20" w:rsidRDefault="00EF7B20" w:rsidP="00B860DF"/>
    <w:p w14:paraId="77404E12" w14:textId="7900048B" w:rsidR="00EF7B20" w:rsidRDefault="00EF7B20" w:rsidP="00B860DF"/>
    <w:p w14:paraId="10BB3A04" w14:textId="79AD661E" w:rsidR="00EF7B20" w:rsidRDefault="00EF7B20" w:rsidP="00B860DF"/>
    <w:p w14:paraId="0C3395B9" w14:textId="77777777" w:rsidR="00EF7B20" w:rsidRDefault="00EF7B20" w:rsidP="00B860DF"/>
    <w:p w14:paraId="43A8FA5B" w14:textId="44993DE4" w:rsidR="00EF7B20" w:rsidRDefault="00EF7B20" w:rsidP="00B860DF"/>
    <w:p w14:paraId="45E81C95" w14:textId="749D6847" w:rsidR="00EF7B20" w:rsidRDefault="00EF7B20" w:rsidP="00B860DF"/>
    <w:p w14:paraId="55B65810" w14:textId="4F5D49C9" w:rsidR="00EF7B20" w:rsidRDefault="00EF7B20" w:rsidP="00B860DF"/>
    <w:p w14:paraId="48E4740B" w14:textId="7F44A388" w:rsidR="00EF7B20" w:rsidRDefault="00EF7B20" w:rsidP="00B860DF"/>
    <w:p w14:paraId="07429AEF" w14:textId="77777777" w:rsidR="00EF7B20" w:rsidRDefault="00EF7B20" w:rsidP="00B860DF"/>
    <w:p w14:paraId="41C3DF02" w14:textId="49B28A47" w:rsidR="009B4772" w:rsidRPr="006828FC" w:rsidRDefault="003874C6" w:rsidP="009B4772">
      <w:r>
        <w:t xml:space="preserve">© </w:t>
      </w:r>
      <w:r w:rsidR="00AB43B1">
        <w:t>State of Victoria 201</w:t>
      </w:r>
      <w:r>
        <w:t>9 (Victorian Government Purchasing Board)</w:t>
      </w:r>
    </w:p>
    <w:p w14:paraId="124F3974" w14:textId="77777777" w:rsidR="009B4772" w:rsidRPr="006828FC" w:rsidRDefault="009B4772" w:rsidP="009B4772">
      <w:r w:rsidRPr="006828FC">
        <w:rPr>
          <w:noProof/>
        </w:rPr>
        <w:drawing>
          <wp:inline distT="0" distB="0" distL="0" distR="0" wp14:anchorId="7C80EF4D" wp14:editId="79695468">
            <wp:extent cx="1117460" cy="393651"/>
            <wp:effectExtent l="0" t="0" r="6985" b="6985"/>
            <wp:docPr id="6" name="Picture 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45BD5EF" w14:textId="77777777" w:rsidR="009B4772" w:rsidRPr="006828FC" w:rsidRDefault="009B4772" w:rsidP="009B4772">
      <w:r w:rsidRPr="006828FC">
        <w:t xml:space="preserve">This work is licensed under a </w:t>
      </w:r>
      <w:hyperlink r:id="rId25" w:history="1">
        <w:r w:rsidR="00156F01" w:rsidRPr="00C92338">
          <w:rPr>
            <w:rStyle w:val="Hyperlink"/>
          </w:rPr>
          <w:t>Creative Commons Attribution 4.0 licence</w:t>
        </w:r>
      </w:hyperlink>
      <w:r w:rsidR="00156F01" w:rsidRPr="00C92338">
        <w:rPr>
          <w:rStyle w:val="Hyperlink"/>
        </w:rPr>
        <w:t>,</w:t>
      </w:r>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22AED8B" w14:textId="77777777" w:rsidR="009B4772" w:rsidRDefault="009B4772" w:rsidP="00B860DF">
      <w:r w:rsidRPr="006828FC">
        <w:t xml:space="preserve">Copyright queries may be directed to </w:t>
      </w:r>
      <w:hyperlink r:id="rId26" w:history="1">
        <w:r w:rsidRPr="006828FC">
          <w:rPr>
            <w:rStyle w:val="Hyperlink"/>
          </w:rPr>
          <w:t>IPpolicy@dtf.vic.gov.au</w:t>
        </w:r>
      </w:hyperlink>
    </w:p>
    <w:sectPr w:rsidR="009B4772" w:rsidSect="00061FF5">
      <w:headerReference w:type="default" r:id="rId27"/>
      <w:footerReference w:type="default" r:id="rId28"/>
      <w:headerReference w:type="first" r:id="rId29"/>
      <w:footerReference w:type="first" r:id="rId30"/>
      <w:pgSz w:w="11901" w:h="16840" w:code="9"/>
      <w:pgMar w:top="1560" w:right="1008" w:bottom="1560" w:left="1152" w:header="567" w:footer="7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260A" w14:textId="77777777" w:rsidR="00317C4B" w:rsidRDefault="00317C4B">
      <w:r>
        <w:separator/>
      </w:r>
    </w:p>
    <w:p w14:paraId="58B5023B" w14:textId="77777777" w:rsidR="00317C4B" w:rsidRDefault="00317C4B"/>
  </w:endnote>
  <w:endnote w:type="continuationSeparator" w:id="0">
    <w:p w14:paraId="73C84C37" w14:textId="77777777" w:rsidR="00317C4B" w:rsidRDefault="00317C4B">
      <w:r>
        <w:continuationSeparator/>
      </w:r>
    </w:p>
    <w:p w14:paraId="6620D430" w14:textId="77777777" w:rsidR="00317C4B" w:rsidRDefault="00317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C190" w14:textId="21DE3460" w:rsidR="003874C6" w:rsidRDefault="003874C6" w:rsidP="00F93BF6">
    <w:pPr>
      <w:pStyle w:val="Footer"/>
      <w:tabs>
        <w:tab w:val="clear" w:pos="8220"/>
        <w:tab w:val="right" w:pos="9639"/>
      </w:tabs>
      <w:jc w:val="left"/>
    </w:pPr>
    <w:r>
      <w:t>Victorian Government Purchasing Board</w:t>
    </w:r>
  </w:p>
  <w:p w14:paraId="2C440ACB" w14:textId="40964928" w:rsidR="00562CE4" w:rsidRDefault="0076330A" w:rsidP="00F93BF6">
    <w:pPr>
      <w:pStyle w:val="Footer"/>
      <w:tabs>
        <w:tab w:val="clear" w:pos="8220"/>
        <w:tab w:val="right" w:pos="9639"/>
      </w:tabs>
      <w:jc w:val="left"/>
    </w:pPr>
    <w:r>
      <mc:AlternateContent>
        <mc:Choice Requires="wps">
          <w:drawing>
            <wp:anchor distT="0" distB="0" distL="114300" distR="114300" simplePos="0" relativeHeight="251661312" behindDoc="0" locked="0" layoutInCell="0" allowOverlap="1" wp14:anchorId="49F4D38E" wp14:editId="7D1B5146">
              <wp:simplePos x="0" y="0"/>
              <wp:positionH relativeFrom="page">
                <wp:posOffset>0</wp:posOffset>
              </wp:positionH>
              <wp:positionV relativeFrom="page">
                <wp:posOffset>10236200</wp:posOffset>
              </wp:positionV>
              <wp:extent cx="7557135" cy="266700"/>
              <wp:effectExtent l="0" t="0" r="0" b="0"/>
              <wp:wrapNone/>
              <wp:docPr id="1" name="MSIPCM550e430fb23591c0db3fb5e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00E7B" w14:textId="712A8304" w:rsidR="0076330A" w:rsidRPr="0076330A" w:rsidRDefault="0076330A" w:rsidP="0076330A">
                          <w:pPr>
                            <w:spacing w:before="0" w:after="0"/>
                            <w:rPr>
                              <w:color w:val="000000"/>
                            </w:rPr>
                          </w:pPr>
                          <w:r w:rsidRPr="0076330A">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F4D38E" id="_x0000_t202" coordsize="21600,21600" o:spt="202" path="m,l,21600r21600,l21600,xe">
              <v:stroke joinstyle="miter"/>
              <v:path gradientshapeok="t" o:connecttype="rect"/>
            </v:shapetype>
            <v:shape id="MSIPCM550e430fb23591c0db3fb5e7"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xoswIAAEgFAAAOAAAAZHJzL2Uyb0RvYy54bWysVEtv2zAMvg/YfxB02GmNnYeTNqtTZCmy&#10;FkjbAOnQsyzLsQFbVCWlcTbsv4+SlXTrdhp2kfim+JHU5VXb1ORFaFOBTGm/F1MiJIe8ktuUfn1c&#10;np1TYiyTOatBipQehKFXs/fvLvdqKgZQQp0LTTCINNO9SmlprZpGkeGlaJjpgRISlQXohllk9TbK&#10;Ndtj9KaOBnE8jvagc6WBC2NQet0p6czHLwrB7UNRGGFJnVJ8m/Wn9mfmzmh2yaZbzVRZ8fAM9g+v&#10;aFglMekp1DWzjOx09UeopuIaDBS2x6GJoCgqLnwNWE0/flPNpmRK+FoQHKNOMJn/F5bfv6w1qXLs&#10;HSWSNdiiu83tenGXJLEYDeMiGwyTiz6P82xYZImYUJILwxHB7x+ed2A/3TBTLiAXHTc96w/Gk3E8&#10;TOLhx2Agqm1pg/p8NOjFQfFU5bYM8uQiOcnXNeOiEfLo05ksAazQHR0C3MpctCFAd6111TB9+M1q&#10;gzOAwxns+sH3EVSQxKfEK1Ecc6Lwh5uNvTJThGijECTbfobW4RTkBoWu5W2hG3djMwnqccoOp8kS&#10;rSUchZMkmfSHCSUcdYPxeBL70YtevZU29ouAhjgipRpf7QeKvayMxYxoejRxySQsq7r201tLsk/p&#10;GCH3DicNetQSHV0N3VsdZdusDQVkkB+wLg3dVhjFlxUmXzFj10zjGmApuNr2AY+iBkwCgaKkBP3t&#10;b3Jnj9OJWkr2uFYpNc87pgUl9a3EuR0koxhrJ9ZzSGhPXPRHI2Syo1TumgXgyuJQ4rM86WxtfSQL&#10;Dc0Trv7cpUMVkxyTpjQ7kguLHCrw6+BiPvc0rpxidiU3irvQDkeH6WP7xLQKwFts2T0cN49N3+Df&#10;2XYdmO8sFJVvjkO2gzMAjuvqexa+Fvcf/Mp7q9cPcPYTAAD//wMAUEsDBBQABgAIAAAAIQDIRCIP&#10;3gAAAAsBAAAPAAAAZHJzL2Rvd25yZXYueG1sTI/BTsMwEETvSPyDtUjcqO0KKhriVFWlIsEBQegH&#10;uPGSpNjryHba8Pc4J7jtzqxm35SbyVl2xhB7TwrkQgBDarzpqVVw+NzfPQKLSZPR1hMq+MEIm+r6&#10;qtSF8Rf6wHOdWpZDKBZaQZfSUHAemw6djgs/IGXvywenU15Dy03QlxzuLF8KseJO95Q/dHrAXYfN&#10;dz06BVscZXyx+9Nzf6jfX09vKZjdWqnbm2n7BCzhlP6OYcbP6FBlpqMfyURmFeQiKasruczT7Mu1&#10;kMCOs/ZwL4BXJf/fofoFAAD//wMAUEsBAi0AFAAGAAgAAAAhALaDOJL+AAAA4QEAABMAAAAAAAAA&#10;AAAAAAAAAAAAAFtDb250ZW50X1R5cGVzXS54bWxQSwECLQAUAAYACAAAACEAOP0h/9YAAACUAQAA&#10;CwAAAAAAAAAAAAAAAAAvAQAAX3JlbHMvLnJlbHNQSwECLQAUAAYACAAAACEALSoMaLMCAABIBQAA&#10;DgAAAAAAAAAAAAAAAAAuAgAAZHJzL2Uyb0RvYy54bWxQSwECLQAUAAYACAAAACEAyEQiD94AAAAL&#10;AQAADwAAAAAAAAAAAAAAAAANBQAAZHJzL2Rvd25yZXYueG1sUEsFBgAAAAAEAAQA8wAAABgGAAAA&#10;AA==&#10;" o:allowincell="f" filled="f" stroked="f" strokeweight=".5pt">
              <v:textbox inset="20pt,0,,0">
                <w:txbxContent>
                  <w:p w14:paraId="0AF00E7B" w14:textId="712A8304" w:rsidR="0076330A" w:rsidRPr="0076330A" w:rsidRDefault="0076330A" w:rsidP="0076330A">
                    <w:pPr>
                      <w:spacing w:before="0" w:after="0"/>
                      <w:rPr>
                        <w:color w:val="000000"/>
                      </w:rPr>
                    </w:pPr>
                    <w:r w:rsidRPr="0076330A">
                      <w:rPr>
                        <w:color w:val="000000"/>
                      </w:rPr>
                      <w:t>OFFICIAL</w:t>
                    </w:r>
                  </w:p>
                </w:txbxContent>
              </v:textbox>
              <w10:wrap anchorx="page" anchory="page"/>
            </v:shape>
          </w:pict>
        </mc:Fallback>
      </mc:AlternateContent>
    </w:r>
    <w:sdt>
      <w:sdtPr>
        <w:id w:val="1045796904"/>
        <w:docPartObj>
          <w:docPartGallery w:val="Page Numbers (Bottom of Page)"/>
          <w:docPartUnique/>
        </w:docPartObj>
      </w:sdtPr>
      <w:sdtEndPr/>
      <w:sdtContent>
        <w:sdt>
          <w:sdtPr>
            <w:id w:val="-1677107500"/>
            <w:docPartObj>
              <w:docPartGallery w:val="Page Numbers (Top of Page)"/>
              <w:docPartUnique/>
            </w:docPartObj>
          </w:sdtPr>
          <w:sdtEndPr/>
          <w:sdtContent>
            <w:r w:rsidR="00F93BF6">
              <w:t>Market approach – Goods and services procurement guide</w:t>
            </w:r>
            <w:r w:rsidR="00F93BF6">
              <w:br/>
            </w:r>
            <w:r w:rsidR="003874C6">
              <w:t>Ju</w:t>
            </w:r>
            <w:r w:rsidR="004D66EF">
              <w:t>ly 2022</w:t>
            </w:r>
            <w:r w:rsidR="00F93BF6">
              <w:tab/>
              <w:t xml:space="preserve">Page </w:t>
            </w:r>
            <w:r w:rsidR="00F93BF6">
              <w:rPr>
                <w:b/>
                <w:bCs/>
                <w:sz w:val="24"/>
                <w:szCs w:val="24"/>
              </w:rPr>
              <w:fldChar w:fldCharType="begin"/>
            </w:r>
            <w:r w:rsidR="00F93BF6">
              <w:rPr>
                <w:b/>
                <w:bCs/>
              </w:rPr>
              <w:instrText xml:space="preserve"> PAGE </w:instrText>
            </w:r>
            <w:r w:rsidR="00F93BF6">
              <w:rPr>
                <w:b/>
                <w:bCs/>
                <w:sz w:val="24"/>
                <w:szCs w:val="24"/>
              </w:rPr>
              <w:fldChar w:fldCharType="separate"/>
            </w:r>
            <w:r w:rsidR="00F93BF6">
              <w:rPr>
                <w:b/>
                <w:bCs/>
              </w:rPr>
              <w:t>2</w:t>
            </w:r>
            <w:r w:rsidR="00F93BF6">
              <w:rPr>
                <w:b/>
                <w:bCs/>
                <w:sz w:val="24"/>
                <w:szCs w:val="24"/>
              </w:rPr>
              <w:fldChar w:fldCharType="end"/>
            </w:r>
            <w:r w:rsidR="00F93BF6">
              <w:t xml:space="preserve"> of </w:t>
            </w:r>
            <w:r w:rsidR="00F93BF6">
              <w:rPr>
                <w:b/>
                <w:bCs/>
                <w:sz w:val="24"/>
                <w:szCs w:val="24"/>
              </w:rPr>
              <w:fldChar w:fldCharType="begin"/>
            </w:r>
            <w:r w:rsidR="00F93BF6">
              <w:rPr>
                <w:b/>
                <w:bCs/>
              </w:rPr>
              <w:instrText xml:space="preserve"> NUMPAGES  </w:instrText>
            </w:r>
            <w:r w:rsidR="00F93BF6">
              <w:rPr>
                <w:b/>
                <w:bCs/>
                <w:sz w:val="24"/>
                <w:szCs w:val="24"/>
              </w:rPr>
              <w:fldChar w:fldCharType="separate"/>
            </w:r>
            <w:r w:rsidR="00F93BF6">
              <w:rPr>
                <w:b/>
                <w:bCs/>
              </w:rPr>
              <w:t>2</w:t>
            </w:r>
            <w:r w:rsidR="00F93BF6">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723F" w14:textId="77777777" w:rsidR="00562CE4" w:rsidRDefault="00704BDC" w:rsidP="00FA5E7C">
    <w:pPr>
      <w:pStyle w:val="Footer"/>
      <w:ind w:firstLine="720"/>
      <w:jc w:val="left"/>
    </w:pPr>
    <w:r>
      <mc:AlternateContent>
        <mc:Choice Requires="wps">
          <w:drawing>
            <wp:anchor distT="0" distB="0" distL="114300" distR="114300" simplePos="0" relativeHeight="251659264" behindDoc="0" locked="0" layoutInCell="0" allowOverlap="1" wp14:anchorId="176442A7" wp14:editId="7C5DB185">
              <wp:simplePos x="0" y="0"/>
              <wp:positionH relativeFrom="page">
                <wp:posOffset>0</wp:posOffset>
              </wp:positionH>
              <wp:positionV relativeFrom="page">
                <wp:posOffset>10236200</wp:posOffset>
              </wp:positionV>
              <wp:extent cx="7557135" cy="266700"/>
              <wp:effectExtent l="0" t="0" r="0" b="0"/>
              <wp:wrapNone/>
              <wp:docPr id="8" name="MSIPCM304145d296ba4d5be107094a"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8220B" w14:textId="77777777" w:rsidR="00704BDC" w:rsidRPr="00704BDC" w:rsidRDefault="00704BDC" w:rsidP="00704BDC">
                          <w:pPr>
                            <w:spacing w:before="0" w:after="0"/>
                            <w:rPr>
                              <w:color w:val="000000"/>
                            </w:rPr>
                          </w:pPr>
                          <w:r w:rsidRPr="00704BDC">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6442A7" id="_x0000_t202" coordsize="21600,21600" o:spt="202" path="m,l,21600r21600,l21600,xe">
              <v:stroke joinstyle="miter"/>
              <v:path gradientshapeok="t" o:connecttype="rect"/>
            </v:shapetype>
            <v:shape id="MSIPCM304145d296ba4d5be107094a"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TxtwIAAFEFAAAOAAAAZHJzL2Uyb0RvYy54bWysVFtv2jAUfp+0/2D5YU8rSYBAYQ0Vo+pW&#10;ibZIdOqzcRwSKfFxbVPSTfvvO3YcOnV7mvaSnJvP5TuXi8u2qcmz0KYCmdFkEFMiJIe8kvuMfnu4&#10;PjunxFgmc1aDFBl9EYZeLt6/uziquRhCCXUuNEEn0syPKqOltWoeRYaXomFmAEpIVBagG2aR1fso&#10;1+yI3ps6GsbxJDqCzpUGLoxB6VWnpAvvvygEt/dFYYQldUYxN+u/2n937hstLth8r5kqKx7SYP+Q&#10;RcMqiUFPrq6YZeSgqz9cNRXXYKCwAw5NBEVRceFrwGqS+E0125Ip4WtBcIw6wWT+n1t+97zRpMoz&#10;io2SrMEW3W5vNqvbUTxOxmk+nE12bJynO5HE03g2ZpTkwnBE8MeHpwPYT1+ZKVeQi46bnyXDyXQS&#10;j9J49DEYiGpf2qA+Hw8HcVA8VrktgzydpSf5pmZcNEL2bzqTawArdEcHBzcyF21wEIwqbeyG7UM2&#10;wW6LU4DjGSyTIH0AFSTxKfRaFH1UFP5003FUZo4gbRXCZNvP0OKU93KDQtf0ttCN+2M7Cepxzl5O&#10;syVaSzgKp2k6TUYpJRx1w8lkGvvhi15fK8z9i4CGOCKjGrP2I8We18ZiJmjam7hgEq6ruvbzW0ty&#10;zOgEQfcPThp8UUt86GrocnWUbXet7/ipjh3kL1iehm49jOLXDsg1c2Bq3AesCHfc3uOnqAFjQaAo&#10;KUF//5vc2eOYopaSI+5XRs3TgWlBSX0jcYCH6ThGCIj1HBLaE7NkPEZm10vloVkB7m6CZ0RxTzpb&#10;W/dkoaF5xBuwdOFQxSTHoBnd9eTKIocKvCFcLJeext1TzK7lVnHn2sHpoH1oH5lWAX+LnbuDfgXZ&#10;/E0bOtuuEcuDhaLyPXIAd3AG3HFvfevCjXGH4XfeW71ewsUvAAAA//8DAFBLAwQUAAYACAAAACEA&#10;yEQiD94AAAALAQAADwAAAGRycy9kb3ducmV2LnhtbEyPwU7DMBBE70j8g7VI3KjtCioa4lRVpSLB&#10;AUHoB7jxkqTY68h22vD3OCe47c6sZt+Um8lZdsYQe08K5EIAQ2q86alVcPjc3z0Ci0mT0dYTKvjB&#10;CJvq+qrUhfEX+sBznVqWQygWWkGX0lBwHpsOnY4LPyBl78sHp1NeQ8tN0Jcc7ixfCrHiTveUP3R6&#10;wF2HzXc9OgVbHGV8sfvTc3+o319PbymY3Vqp25tp+wQs4ZT+jmHGz+hQZaajH8lEZhXkIimrK7nM&#10;0+zLtZDAjrP2cC+AVyX/36H6BQAA//8DAFBLAQItABQABgAIAAAAIQC2gziS/gAAAOEBAAATAAAA&#10;AAAAAAAAAAAAAAAAAABbQ29udGVudF9UeXBlc10ueG1sUEsBAi0AFAAGAAgAAAAhADj9If/WAAAA&#10;lAEAAAsAAAAAAAAAAAAAAAAALwEAAF9yZWxzLy5yZWxzUEsBAi0AFAAGAAgAAAAhAIu/FPG3AgAA&#10;UQUAAA4AAAAAAAAAAAAAAAAALgIAAGRycy9lMm9Eb2MueG1sUEsBAi0AFAAGAAgAAAAhAMhEIg/e&#10;AAAACwEAAA8AAAAAAAAAAAAAAAAAEQUAAGRycy9kb3ducmV2LnhtbFBLBQYAAAAABAAEAPMAAAAc&#10;BgAAAAA=&#10;" o:allowincell="f" filled="f" stroked="f" strokeweight=".5pt">
              <v:textbox inset="20pt,0,,0">
                <w:txbxContent>
                  <w:p w14:paraId="2258220B" w14:textId="77777777" w:rsidR="00704BDC" w:rsidRPr="00704BDC" w:rsidRDefault="00704BDC" w:rsidP="00704BDC">
                    <w:pPr>
                      <w:spacing w:before="0" w:after="0"/>
                      <w:rPr>
                        <w:color w:val="000000"/>
                      </w:rPr>
                    </w:pPr>
                    <w:r w:rsidRPr="00704BDC">
                      <w:rPr>
                        <w:color w:val="000000"/>
                      </w:rPr>
                      <w:t>OFFICIAL</w:t>
                    </w:r>
                  </w:p>
                </w:txbxContent>
              </v:textbox>
              <w10:wrap anchorx="page" anchory="page"/>
            </v:shape>
          </w:pict>
        </mc:Fallback>
      </mc:AlternateContent>
    </w:r>
    <w:r w:rsidR="00562CE4">
      <w:drawing>
        <wp:anchor distT="0" distB="0" distL="114300" distR="114300" simplePos="0" relativeHeight="251657216" behindDoc="0" locked="0" layoutInCell="1" allowOverlap="1" wp14:anchorId="317025A4" wp14:editId="3660D4D4">
          <wp:simplePos x="0" y="0"/>
          <wp:positionH relativeFrom="column">
            <wp:posOffset>5425316</wp:posOffset>
          </wp:positionH>
          <wp:positionV relativeFrom="page">
            <wp:posOffset>9981461</wp:posOffset>
          </wp:positionV>
          <wp:extent cx="795020" cy="457200"/>
          <wp:effectExtent l="0" t="0" r="508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665" w14:textId="77777777" w:rsidR="00317C4B" w:rsidRDefault="00317C4B">
      <w:r>
        <w:separator/>
      </w:r>
    </w:p>
    <w:p w14:paraId="57A13CDC" w14:textId="77777777" w:rsidR="00317C4B" w:rsidRDefault="00317C4B"/>
  </w:footnote>
  <w:footnote w:type="continuationSeparator" w:id="0">
    <w:p w14:paraId="61E73CF3" w14:textId="77777777" w:rsidR="00317C4B" w:rsidRDefault="00317C4B">
      <w:r>
        <w:continuationSeparator/>
      </w:r>
    </w:p>
    <w:p w14:paraId="7F1A2FF5" w14:textId="77777777" w:rsidR="00317C4B" w:rsidRDefault="00317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CE23" w14:textId="77777777" w:rsidR="00562CE4" w:rsidRPr="00F93BF6" w:rsidRDefault="00F93BF6" w:rsidP="00F93BF6">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49BB" w14:textId="77777777" w:rsidR="00562CE4" w:rsidRPr="007602D7" w:rsidRDefault="00562CE4" w:rsidP="00B54F88">
    <w:pPr>
      <w:pStyle w:val="Header"/>
      <w:spacing w:before="240"/>
      <w:ind w:right="-461"/>
    </w:pPr>
    <w:r w:rsidRPr="000E286D">
      <w:drawing>
        <wp:anchor distT="0" distB="0" distL="114300" distR="114300" simplePos="0" relativeHeight="251655168" behindDoc="1" locked="0" layoutInCell="1" allowOverlap="1" wp14:anchorId="720EAB6D" wp14:editId="37D37BEB">
          <wp:simplePos x="0" y="0"/>
          <wp:positionH relativeFrom="column">
            <wp:posOffset>-731520</wp:posOffset>
          </wp:positionH>
          <wp:positionV relativeFrom="paragraph">
            <wp:posOffset>-200133</wp:posOffset>
          </wp:positionV>
          <wp:extent cx="560717" cy="10717356"/>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4745C202" wp14:editId="5A30A62F">
          <wp:extent cx="2162175" cy="133350"/>
          <wp:effectExtent l="0" t="0" r="0" b="0"/>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FA7CE8"/>
    <w:multiLevelType w:val="hybridMultilevel"/>
    <w:tmpl w:val="AE7A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B2399F"/>
    <w:multiLevelType w:val="hybridMultilevel"/>
    <w:tmpl w:val="6BE4A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9"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0" w15:restartNumberingAfterBreak="0">
    <w:nsid w:val="178A32E4"/>
    <w:multiLevelType w:val="hybridMultilevel"/>
    <w:tmpl w:val="06DC8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61E49"/>
    <w:multiLevelType w:val="multilevel"/>
    <w:tmpl w:val="23CA4E4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2" w15:restartNumberingAfterBreak="0">
    <w:nsid w:val="1A7C48E7"/>
    <w:multiLevelType w:val="multilevel"/>
    <w:tmpl w:val="21EE23D4"/>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3" w15:restartNumberingAfterBreak="0">
    <w:nsid w:val="1B4719C1"/>
    <w:multiLevelType w:val="multilevel"/>
    <w:tmpl w:val="75409F7C"/>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Calibri" w:hAnsi="Calibri"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14" w15:restartNumberingAfterBreak="0">
    <w:nsid w:val="1DA31F10"/>
    <w:multiLevelType w:val="multilevel"/>
    <w:tmpl w:val="B674271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1685756"/>
    <w:multiLevelType w:val="multilevel"/>
    <w:tmpl w:val="7416E48C"/>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7" w15:restartNumberingAfterBreak="0">
    <w:nsid w:val="26287BF6"/>
    <w:multiLevelType w:val="hybridMultilevel"/>
    <w:tmpl w:val="B51C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595000"/>
    <w:multiLevelType w:val="hybridMultilevel"/>
    <w:tmpl w:val="9626A1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490CB1"/>
    <w:multiLevelType w:val="multilevel"/>
    <w:tmpl w:val="3CD063C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39C901DC"/>
    <w:multiLevelType w:val="hybridMultilevel"/>
    <w:tmpl w:val="FAEE0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5"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D3A6A"/>
    <w:multiLevelType w:val="multilevel"/>
    <w:tmpl w:val="96B8B1F2"/>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Symbol" w:hAnsi="Symbol"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7" w15:restartNumberingAfterBreak="0">
    <w:nsid w:val="44A24B6D"/>
    <w:multiLevelType w:val="hybridMultilevel"/>
    <w:tmpl w:val="8E52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70783"/>
    <w:multiLevelType w:val="multilevel"/>
    <w:tmpl w:val="C95084E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CF23227"/>
    <w:multiLevelType w:val="multilevel"/>
    <w:tmpl w:val="742A019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59C526C2"/>
    <w:multiLevelType w:val="multilevel"/>
    <w:tmpl w:val="3FC00B74"/>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6"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4803127"/>
    <w:multiLevelType w:val="multilevel"/>
    <w:tmpl w:val="A6DA9C8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3" w15:restartNumberingAfterBreak="0">
    <w:nsid w:val="772102A0"/>
    <w:multiLevelType w:val="multilevel"/>
    <w:tmpl w:val="CFFCA12A"/>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8"/>
  </w:num>
  <w:num w:numId="5">
    <w:abstractNumId w:val="19"/>
  </w:num>
  <w:num w:numId="6">
    <w:abstractNumId w:val="34"/>
  </w:num>
  <w:num w:numId="7">
    <w:abstractNumId w:val="31"/>
  </w:num>
  <w:num w:numId="8">
    <w:abstractNumId w:val="26"/>
  </w:num>
  <w:num w:numId="9">
    <w:abstractNumId w:val="37"/>
  </w:num>
  <w:num w:numId="10">
    <w:abstractNumId w:val="15"/>
  </w:num>
  <w:num w:numId="11">
    <w:abstractNumId w:val="6"/>
  </w:num>
  <w:num w:numId="12">
    <w:abstractNumId w:val="36"/>
  </w:num>
  <w:num w:numId="13">
    <w:abstractNumId w:val="12"/>
  </w:num>
  <w:num w:numId="14">
    <w:abstractNumId w:val="16"/>
  </w:num>
  <w:num w:numId="15">
    <w:abstractNumId w:val="21"/>
  </w:num>
  <w:num w:numId="16">
    <w:abstractNumId w:val="14"/>
  </w:num>
  <w:num w:numId="17">
    <w:abstractNumId w:val="28"/>
  </w:num>
  <w:num w:numId="18">
    <w:abstractNumId w:val="43"/>
  </w:num>
  <w:num w:numId="19">
    <w:abstractNumId w:val="33"/>
  </w:num>
  <w:num w:numId="20">
    <w:abstractNumId w:val="11"/>
  </w:num>
  <w:num w:numId="21">
    <w:abstractNumId w:val="30"/>
  </w:num>
  <w:num w:numId="22">
    <w:abstractNumId w:val="42"/>
  </w:num>
  <w:num w:numId="23">
    <w:abstractNumId w:val="1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num>
  <w:num w:numId="27">
    <w:abstractNumId w:val="26"/>
  </w:num>
  <w:num w:numId="28">
    <w:abstractNumId w:val="3"/>
  </w:num>
  <w:num w:numId="29">
    <w:abstractNumId w:val="20"/>
  </w:num>
  <w:num w:numId="30">
    <w:abstractNumId w:val="10"/>
  </w:num>
  <w:num w:numId="31">
    <w:abstractNumId w:val="26"/>
  </w:num>
  <w:num w:numId="32">
    <w:abstractNumId w:val="17"/>
  </w:num>
  <w:num w:numId="33">
    <w:abstractNumId w:val="10"/>
  </w:num>
  <w:num w:numId="34">
    <w:abstractNumId w:val="22"/>
  </w:num>
  <w:num w:numId="35">
    <w:abstractNumId w:val="27"/>
  </w:num>
  <w:num w:numId="36">
    <w:abstractNumId w:val="4"/>
  </w:num>
  <w:num w:numId="37">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4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151F"/>
    <w:rsid w:val="000023A0"/>
    <w:rsid w:val="00002E3E"/>
    <w:rsid w:val="00006544"/>
    <w:rsid w:val="00010565"/>
    <w:rsid w:val="00010BD3"/>
    <w:rsid w:val="0001144C"/>
    <w:rsid w:val="00016492"/>
    <w:rsid w:val="00026C82"/>
    <w:rsid w:val="00031F32"/>
    <w:rsid w:val="000326B8"/>
    <w:rsid w:val="00043565"/>
    <w:rsid w:val="0004698A"/>
    <w:rsid w:val="000510CB"/>
    <w:rsid w:val="00061FF5"/>
    <w:rsid w:val="00063BFD"/>
    <w:rsid w:val="000645E2"/>
    <w:rsid w:val="00072A3C"/>
    <w:rsid w:val="00082807"/>
    <w:rsid w:val="00086691"/>
    <w:rsid w:val="00086AD6"/>
    <w:rsid w:val="000949CB"/>
    <w:rsid w:val="000C141A"/>
    <w:rsid w:val="000C1C01"/>
    <w:rsid w:val="000C3368"/>
    <w:rsid w:val="000C3814"/>
    <w:rsid w:val="000D37A7"/>
    <w:rsid w:val="000E0463"/>
    <w:rsid w:val="000E4881"/>
    <w:rsid w:val="000E5B4E"/>
    <w:rsid w:val="000F273D"/>
    <w:rsid w:val="000F2FB1"/>
    <w:rsid w:val="000F54E7"/>
    <w:rsid w:val="00102BFC"/>
    <w:rsid w:val="00104077"/>
    <w:rsid w:val="001066CF"/>
    <w:rsid w:val="00106C6E"/>
    <w:rsid w:val="00117703"/>
    <w:rsid w:val="001213BE"/>
    <w:rsid w:val="00122EAB"/>
    <w:rsid w:val="001251C4"/>
    <w:rsid w:val="00126C86"/>
    <w:rsid w:val="00135230"/>
    <w:rsid w:val="00143A23"/>
    <w:rsid w:val="0015674B"/>
    <w:rsid w:val="00156F01"/>
    <w:rsid w:val="00157448"/>
    <w:rsid w:val="00164424"/>
    <w:rsid w:val="00181844"/>
    <w:rsid w:val="0018386B"/>
    <w:rsid w:val="00184E1A"/>
    <w:rsid w:val="0018749C"/>
    <w:rsid w:val="00187696"/>
    <w:rsid w:val="001905BD"/>
    <w:rsid w:val="001A7B19"/>
    <w:rsid w:val="001B0B3F"/>
    <w:rsid w:val="001C0319"/>
    <w:rsid w:val="001C351D"/>
    <w:rsid w:val="001C6970"/>
    <w:rsid w:val="001D0547"/>
    <w:rsid w:val="001D5E05"/>
    <w:rsid w:val="001D60E6"/>
    <w:rsid w:val="001E0209"/>
    <w:rsid w:val="001E0A43"/>
    <w:rsid w:val="001E67A9"/>
    <w:rsid w:val="001F1779"/>
    <w:rsid w:val="00205B35"/>
    <w:rsid w:val="002063AC"/>
    <w:rsid w:val="00215F14"/>
    <w:rsid w:val="00217487"/>
    <w:rsid w:val="00221064"/>
    <w:rsid w:val="00225175"/>
    <w:rsid w:val="002344F7"/>
    <w:rsid w:val="002437BD"/>
    <w:rsid w:val="0024452C"/>
    <w:rsid w:val="00252F44"/>
    <w:rsid w:val="002578C1"/>
    <w:rsid w:val="00260106"/>
    <w:rsid w:val="002656EB"/>
    <w:rsid w:val="00267317"/>
    <w:rsid w:val="00267638"/>
    <w:rsid w:val="00283A24"/>
    <w:rsid w:val="0028498C"/>
    <w:rsid w:val="00285974"/>
    <w:rsid w:val="002A18C2"/>
    <w:rsid w:val="002A4C3E"/>
    <w:rsid w:val="002B164C"/>
    <w:rsid w:val="002C4EC9"/>
    <w:rsid w:val="002C6424"/>
    <w:rsid w:val="002D3826"/>
    <w:rsid w:val="002E1673"/>
    <w:rsid w:val="002E725D"/>
    <w:rsid w:val="002E7EFC"/>
    <w:rsid w:val="002F2549"/>
    <w:rsid w:val="002F64DF"/>
    <w:rsid w:val="002F7AEB"/>
    <w:rsid w:val="003005C6"/>
    <w:rsid w:val="003011AF"/>
    <w:rsid w:val="00304E7F"/>
    <w:rsid w:val="00305BA7"/>
    <w:rsid w:val="00306CBA"/>
    <w:rsid w:val="00307CC0"/>
    <w:rsid w:val="00317357"/>
    <w:rsid w:val="00317C4B"/>
    <w:rsid w:val="00322500"/>
    <w:rsid w:val="00343DCF"/>
    <w:rsid w:val="00345EDB"/>
    <w:rsid w:val="00351035"/>
    <w:rsid w:val="0035331C"/>
    <w:rsid w:val="00367A37"/>
    <w:rsid w:val="00370867"/>
    <w:rsid w:val="0037192A"/>
    <w:rsid w:val="003738EE"/>
    <w:rsid w:val="00374B96"/>
    <w:rsid w:val="00375188"/>
    <w:rsid w:val="00386859"/>
    <w:rsid w:val="003870F2"/>
    <w:rsid w:val="003874C6"/>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2DF3"/>
    <w:rsid w:val="003C4879"/>
    <w:rsid w:val="003C4EC0"/>
    <w:rsid w:val="003C4F57"/>
    <w:rsid w:val="003D01BD"/>
    <w:rsid w:val="003E02BC"/>
    <w:rsid w:val="003E230C"/>
    <w:rsid w:val="003E37F8"/>
    <w:rsid w:val="003E4095"/>
    <w:rsid w:val="003E5D72"/>
    <w:rsid w:val="003E66B9"/>
    <w:rsid w:val="003F016E"/>
    <w:rsid w:val="003F2A6E"/>
    <w:rsid w:val="003F45D9"/>
    <w:rsid w:val="003F4E27"/>
    <w:rsid w:val="00402FED"/>
    <w:rsid w:val="004113E1"/>
    <w:rsid w:val="0041390A"/>
    <w:rsid w:val="004162EC"/>
    <w:rsid w:val="00422FAB"/>
    <w:rsid w:val="00426D21"/>
    <w:rsid w:val="00426DBD"/>
    <w:rsid w:val="00427659"/>
    <w:rsid w:val="00430A03"/>
    <w:rsid w:val="00431277"/>
    <w:rsid w:val="0043290E"/>
    <w:rsid w:val="004455A7"/>
    <w:rsid w:val="00445F33"/>
    <w:rsid w:val="00451758"/>
    <w:rsid w:val="004537C6"/>
    <w:rsid w:val="00456B6B"/>
    <w:rsid w:val="004600A4"/>
    <w:rsid w:val="00462DB3"/>
    <w:rsid w:val="00466D77"/>
    <w:rsid w:val="00467979"/>
    <w:rsid w:val="004736D3"/>
    <w:rsid w:val="00474471"/>
    <w:rsid w:val="00475FC8"/>
    <w:rsid w:val="00480708"/>
    <w:rsid w:val="004907E5"/>
    <w:rsid w:val="00497F91"/>
    <w:rsid w:val="004A2DD7"/>
    <w:rsid w:val="004A460D"/>
    <w:rsid w:val="004A5495"/>
    <w:rsid w:val="004A6A50"/>
    <w:rsid w:val="004B0978"/>
    <w:rsid w:val="004B534D"/>
    <w:rsid w:val="004C561F"/>
    <w:rsid w:val="004C7E27"/>
    <w:rsid w:val="004D0F63"/>
    <w:rsid w:val="004D66EF"/>
    <w:rsid w:val="004D7D40"/>
    <w:rsid w:val="004F1A9B"/>
    <w:rsid w:val="004F4FD2"/>
    <w:rsid w:val="004F506E"/>
    <w:rsid w:val="00500E86"/>
    <w:rsid w:val="005013B3"/>
    <w:rsid w:val="005044A5"/>
    <w:rsid w:val="00505FD8"/>
    <w:rsid w:val="00506E38"/>
    <w:rsid w:val="0051295C"/>
    <w:rsid w:val="005155EC"/>
    <w:rsid w:val="00517A94"/>
    <w:rsid w:val="00523241"/>
    <w:rsid w:val="0053456F"/>
    <w:rsid w:val="00535B0C"/>
    <w:rsid w:val="00536699"/>
    <w:rsid w:val="0054032A"/>
    <w:rsid w:val="005410B4"/>
    <w:rsid w:val="00541CFE"/>
    <w:rsid w:val="00542A7C"/>
    <w:rsid w:val="00552213"/>
    <w:rsid w:val="005530CD"/>
    <w:rsid w:val="005558AF"/>
    <w:rsid w:val="00562809"/>
    <w:rsid w:val="00562CE4"/>
    <w:rsid w:val="005637F1"/>
    <w:rsid w:val="00564D54"/>
    <w:rsid w:val="005733B2"/>
    <w:rsid w:val="00573DFF"/>
    <w:rsid w:val="00574189"/>
    <w:rsid w:val="00577C5A"/>
    <w:rsid w:val="00583851"/>
    <w:rsid w:val="005867F0"/>
    <w:rsid w:val="0059054F"/>
    <w:rsid w:val="0059414E"/>
    <w:rsid w:val="005A2294"/>
    <w:rsid w:val="005A51DC"/>
    <w:rsid w:val="005B29CD"/>
    <w:rsid w:val="005B7317"/>
    <w:rsid w:val="005C1368"/>
    <w:rsid w:val="005C69CC"/>
    <w:rsid w:val="005D2370"/>
    <w:rsid w:val="005D3801"/>
    <w:rsid w:val="005D502E"/>
    <w:rsid w:val="005E006C"/>
    <w:rsid w:val="005E32AE"/>
    <w:rsid w:val="005F0BBF"/>
    <w:rsid w:val="005F6958"/>
    <w:rsid w:val="00610AFF"/>
    <w:rsid w:val="00612FCC"/>
    <w:rsid w:val="00632984"/>
    <w:rsid w:val="0063576F"/>
    <w:rsid w:val="00645ADA"/>
    <w:rsid w:val="00647E27"/>
    <w:rsid w:val="00657C6B"/>
    <w:rsid w:val="00662658"/>
    <w:rsid w:val="00662F3F"/>
    <w:rsid w:val="006666E4"/>
    <w:rsid w:val="0066682B"/>
    <w:rsid w:val="00670B66"/>
    <w:rsid w:val="00672FCE"/>
    <w:rsid w:val="00674FE8"/>
    <w:rsid w:val="00677AD1"/>
    <w:rsid w:val="00683AA5"/>
    <w:rsid w:val="0068495A"/>
    <w:rsid w:val="00684BDD"/>
    <w:rsid w:val="006866A7"/>
    <w:rsid w:val="006913E2"/>
    <w:rsid w:val="00692CFF"/>
    <w:rsid w:val="00694E47"/>
    <w:rsid w:val="006A5C59"/>
    <w:rsid w:val="006A627F"/>
    <w:rsid w:val="006A7D93"/>
    <w:rsid w:val="006A7ED6"/>
    <w:rsid w:val="006B074A"/>
    <w:rsid w:val="006B11CE"/>
    <w:rsid w:val="006B32D6"/>
    <w:rsid w:val="006B7B88"/>
    <w:rsid w:val="006C23AC"/>
    <w:rsid w:val="006D53EF"/>
    <w:rsid w:val="006D5BDC"/>
    <w:rsid w:val="006E376A"/>
    <w:rsid w:val="006E6398"/>
    <w:rsid w:val="006E6C70"/>
    <w:rsid w:val="006F0756"/>
    <w:rsid w:val="006F0FE1"/>
    <w:rsid w:val="006F234C"/>
    <w:rsid w:val="006F26D4"/>
    <w:rsid w:val="006F26E3"/>
    <w:rsid w:val="007003BC"/>
    <w:rsid w:val="00704015"/>
    <w:rsid w:val="0070452F"/>
    <w:rsid w:val="00704BDC"/>
    <w:rsid w:val="00706BFC"/>
    <w:rsid w:val="0071093F"/>
    <w:rsid w:val="00715221"/>
    <w:rsid w:val="0071554E"/>
    <w:rsid w:val="00721AE2"/>
    <w:rsid w:val="0072437E"/>
    <w:rsid w:val="00724E96"/>
    <w:rsid w:val="00724EA7"/>
    <w:rsid w:val="007254AC"/>
    <w:rsid w:val="00727B69"/>
    <w:rsid w:val="00731D56"/>
    <w:rsid w:val="007372FB"/>
    <w:rsid w:val="0073778D"/>
    <w:rsid w:val="00741DF4"/>
    <w:rsid w:val="00745F07"/>
    <w:rsid w:val="00745FBC"/>
    <w:rsid w:val="00747EAA"/>
    <w:rsid w:val="00752AD5"/>
    <w:rsid w:val="0075637D"/>
    <w:rsid w:val="007602D7"/>
    <w:rsid w:val="0076330A"/>
    <w:rsid w:val="00771EC3"/>
    <w:rsid w:val="0077373E"/>
    <w:rsid w:val="00773ACE"/>
    <w:rsid w:val="0077512D"/>
    <w:rsid w:val="007809B7"/>
    <w:rsid w:val="00782E8F"/>
    <w:rsid w:val="00782F61"/>
    <w:rsid w:val="00784401"/>
    <w:rsid w:val="00785F89"/>
    <w:rsid w:val="0078774E"/>
    <w:rsid w:val="007A128D"/>
    <w:rsid w:val="007A6388"/>
    <w:rsid w:val="007B0E7B"/>
    <w:rsid w:val="007B4F5D"/>
    <w:rsid w:val="007B511D"/>
    <w:rsid w:val="007B546A"/>
    <w:rsid w:val="007C0F87"/>
    <w:rsid w:val="007C318D"/>
    <w:rsid w:val="007C35C1"/>
    <w:rsid w:val="007C3F67"/>
    <w:rsid w:val="007C550B"/>
    <w:rsid w:val="007C7C80"/>
    <w:rsid w:val="007D6194"/>
    <w:rsid w:val="007E4213"/>
    <w:rsid w:val="007E5F7B"/>
    <w:rsid w:val="00803B4C"/>
    <w:rsid w:val="00810AB4"/>
    <w:rsid w:val="00811BA7"/>
    <w:rsid w:val="00813444"/>
    <w:rsid w:val="00813D23"/>
    <w:rsid w:val="00820D82"/>
    <w:rsid w:val="00821B10"/>
    <w:rsid w:val="0082304B"/>
    <w:rsid w:val="0082311D"/>
    <w:rsid w:val="00840293"/>
    <w:rsid w:val="008410D5"/>
    <w:rsid w:val="008433CF"/>
    <w:rsid w:val="00846677"/>
    <w:rsid w:val="008530D9"/>
    <w:rsid w:val="00853261"/>
    <w:rsid w:val="008645CD"/>
    <w:rsid w:val="0087108A"/>
    <w:rsid w:val="00872CD7"/>
    <w:rsid w:val="00877DFD"/>
    <w:rsid w:val="00886A1C"/>
    <w:rsid w:val="00895269"/>
    <w:rsid w:val="008A2886"/>
    <w:rsid w:val="008A3BC9"/>
    <w:rsid w:val="008A3BE3"/>
    <w:rsid w:val="008B00A2"/>
    <w:rsid w:val="008B2BD7"/>
    <w:rsid w:val="008B4764"/>
    <w:rsid w:val="008B4A2C"/>
    <w:rsid w:val="008B7C35"/>
    <w:rsid w:val="008C5DD9"/>
    <w:rsid w:val="008D2825"/>
    <w:rsid w:val="008D64D2"/>
    <w:rsid w:val="008D74B1"/>
    <w:rsid w:val="008E320A"/>
    <w:rsid w:val="008E5070"/>
    <w:rsid w:val="008E7403"/>
    <w:rsid w:val="008F1C0C"/>
    <w:rsid w:val="00900A09"/>
    <w:rsid w:val="009074D9"/>
    <w:rsid w:val="00915450"/>
    <w:rsid w:val="009159F9"/>
    <w:rsid w:val="0091711E"/>
    <w:rsid w:val="0092029B"/>
    <w:rsid w:val="00925CAA"/>
    <w:rsid w:val="00925F83"/>
    <w:rsid w:val="00933996"/>
    <w:rsid w:val="009342B3"/>
    <w:rsid w:val="00951F3D"/>
    <w:rsid w:val="0095321F"/>
    <w:rsid w:val="00956416"/>
    <w:rsid w:val="009572B6"/>
    <w:rsid w:val="00957A0D"/>
    <w:rsid w:val="009647C8"/>
    <w:rsid w:val="00967F9A"/>
    <w:rsid w:val="00970C56"/>
    <w:rsid w:val="0098017E"/>
    <w:rsid w:val="00980547"/>
    <w:rsid w:val="009817B6"/>
    <w:rsid w:val="0098787E"/>
    <w:rsid w:val="00992E81"/>
    <w:rsid w:val="00993D1E"/>
    <w:rsid w:val="009A419F"/>
    <w:rsid w:val="009A6A13"/>
    <w:rsid w:val="009B4772"/>
    <w:rsid w:val="009C2652"/>
    <w:rsid w:val="009C2923"/>
    <w:rsid w:val="009C3719"/>
    <w:rsid w:val="009C51C5"/>
    <w:rsid w:val="009C759C"/>
    <w:rsid w:val="009D19FA"/>
    <w:rsid w:val="009D34EB"/>
    <w:rsid w:val="009E5467"/>
    <w:rsid w:val="009E5F72"/>
    <w:rsid w:val="00A135CF"/>
    <w:rsid w:val="00A170DF"/>
    <w:rsid w:val="00A23384"/>
    <w:rsid w:val="00A26015"/>
    <w:rsid w:val="00A37A4F"/>
    <w:rsid w:val="00A40F98"/>
    <w:rsid w:val="00A423CD"/>
    <w:rsid w:val="00A468C5"/>
    <w:rsid w:val="00A5202A"/>
    <w:rsid w:val="00A6456E"/>
    <w:rsid w:val="00A67EEB"/>
    <w:rsid w:val="00A70C63"/>
    <w:rsid w:val="00A71FBC"/>
    <w:rsid w:val="00A83874"/>
    <w:rsid w:val="00A8571E"/>
    <w:rsid w:val="00A87845"/>
    <w:rsid w:val="00A90F14"/>
    <w:rsid w:val="00AA5A6B"/>
    <w:rsid w:val="00AB3DD8"/>
    <w:rsid w:val="00AB43B1"/>
    <w:rsid w:val="00AC27DA"/>
    <w:rsid w:val="00AC476E"/>
    <w:rsid w:val="00AD2263"/>
    <w:rsid w:val="00AD2349"/>
    <w:rsid w:val="00AE4AF0"/>
    <w:rsid w:val="00AE6C2E"/>
    <w:rsid w:val="00AE7BC6"/>
    <w:rsid w:val="00AF3197"/>
    <w:rsid w:val="00AF63CF"/>
    <w:rsid w:val="00AF7E39"/>
    <w:rsid w:val="00B029AC"/>
    <w:rsid w:val="00B10361"/>
    <w:rsid w:val="00B12BD8"/>
    <w:rsid w:val="00B16095"/>
    <w:rsid w:val="00B217D9"/>
    <w:rsid w:val="00B3351E"/>
    <w:rsid w:val="00B418E3"/>
    <w:rsid w:val="00B42221"/>
    <w:rsid w:val="00B44C41"/>
    <w:rsid w:val="00B54F88"/>
    <w:rsid w:val="00B57338"/>
    <w:rsid w:val="00B57C72"/>
    <w:rsid w:val="00B60925"/>
    <w:rsid w:val="00B71063"/>
    <w:rsid w:val="00B807B5"/>
    <w:rsid w:val="00B82136"/>
    <w:rsid w:val="00B860DF"/>
    <w:rsid w:val="00B96F20"/>
    <w:rsid w:val="00BA08AB"/>
    <w:rsid w:val="00BA119E"/>
    <w:rsid w:val="00BA277B"/>
    <w:rsid w:val="00BA7830"/>
    <w:rsid w:val="00BB02B3"/>
    <w:rsid w:val="00BC0888"/>
    <w:rsid w:val="00BC60A9"/>
    <w:rsid w:val="00BD45AA"/>
    <w:rsid w:val="00BE09D0"/>
    <w:rsid w:val="00BE1393"/>
    <w:rsid w:val="00BF1128"/>
    <w:rsid w:val="00C01977"/>
    <w:rsid w:val="00C04109"/>
    <w:rsid w:val="00C04623"/>
    <w:rsid w:val="00C16FF3"/>
    <w:rsid w:val="00C252AE"/>
    <w:rsid w:val="00C26280"/>
    <w:rsid w:val="00C3191D"/>
    <w:rsid w:val="00C31C57"/>
    <w:rsid w:val="00C41C46"/>
    <w:rsid w:val="00C5203A"/>
    <w:rsid w:val="00C5310F"/>
    <w:rsid w:val="00C61446"/>
    <w:rsid w:val="00C71D9D"/>
    <w:rsid w:val="00C8089C"/>
    <w:rsid w:val="00C81316"/>
    <w:rsid w:val="00C850E0"/>
    <w:rsid w:val="00CA3C0E"/>
    <w:rsid w:val="00CA42E0"/>
    <w:rsid w:val="00CA4310"/>
    <w:rsid w:val="00CA4540"/>
    <w:rsid w:val="00CB307B"/>
    <w:rsid w:val="00CB4E50"/>
    <w:rsid w:val="00CB72F7"/>
    <w:rsid w:val="00CB793A"/>
    <w:rsid w:val="00CC5975"/>
    <w:rsid w:val="00CD4CC5"/>
    <w:rsid w:val="00CE2166"/>
    <w:rsid w:val="00D000C1"/>
    <w:rsid w:val="00D06C25"/>
    <w:rsid w:val="00D25E99"/>
    <w:rsid w:val="00D31E02"/>
    <w:rsid w:val="00D33C0E"/>
    <w:rsid w:val="00D355EE"/>
    <w:rsid w:val="00D40B9E"/>
    <w:rsid w:val="00D44821"/>
    <w:rsid w:val="00D456E5"/>
    <w:rsid w:val="00D465CB"/>
    <w:rsid w:val="00D57AA5"/>
    <w:rsid w:val="00D75112"/>
    <w:rsid w:val="00D75501"/>
    <w:rsid w:val="00D80AEE"/>
    <w:rsid w:val="00D83962"/>
    <w:rsid w:val="00D90B1F"/>
    <w:rsid w:val="00D9401A"/>
    <w:rsid w:val="00D9495D"/>
    <w:rsid w:val="00DA4453"/>
    <w:rsid w:val="00DA5CDB"/>
    <w:rsid w:val="00DB464D"/>
    <w:rsid w:val="00DB4C5B"/>
    <w:rsid w:val="00DB5A6E"/>
    <w:rsid w:val="00DB74A7"/>
    <w:rsid w:val="00DC3EAB"/>
    <w:rsid w:val="00DD2C1F"/>
    <w:rsid w:val="00DD4AC6"/>
    <w:rsid w:val="00DD5E26"/>
    <w:rsid w:val="00DD6206"/>
    <w:rsid w:val="00DE3260"/>
    <w:rsid w:val="00DE7990"/>
    <w:rsid w:val="00DF04D0"/>
    <w:rsid w:val="00E00C30"/>
    <w:rsid w:val="00E03C3C"/>
    <w:rsid w:val="00E05F22"/>
    <w:rsid w:val="00E07896"/>
    <w:rsid w:val="00E12836"/>
    <w:rsid w:val="00E17B35"/>
    <w:rsid w:val="00E20BB5"/>
    <w:rsid w:val="00E23EC0"/>
    <w:rsid w:val="00E3726E"/>
    <w:rsid w:val="00E46801"/>
    <w:rsid w:val="00E47A3E"/>
    <w:rsid w:val="00E500D1"/>
    <w:rsid w:val="00E50A31"/>
    <w:rsid w:val="00E5224A"/>
    <w:rsid w:val="00E53F4A"/>
    <w:rsid w:val="00E54015"/>
    <w:rsid w:val="00E557E9"/>
    <w:rsid w:val="00E64AC0"/>
    <w:rsid w:val="00E70A4A"/>
    <w:rsid w:val="00E7585E"/>
    <w:rsid w:val="00E8261D"/>
    <w:rsid w:val="00E84288"/>
    <w:rsid w:val="00E9382C"/>
    <w:rsid w:val="00E97E50"/>
    <w:rsid w:val="00EA07C3"/>
    <w:rsid w:val="00EA08CE"/>
    <w:rsid w:val="00EA0911"/>
    <w:rsid w:val="00EA49CA"/>
    <w:rsid w:val="00EA4A07"/>
    <w:rsid w:val="00EB2189"/>
    <w:rsid w:val="00EB3004"/>
    <w:rsid w:val="00EB76CA"/>
    <w:rsid w:val="00EC1C00"/>
    <w:rsid w:val="00EC43AE"/>
    <w:rsid w:val="00EC708F"/>
    <w:rsid w:val="00ED03A1"/>
    <w:rsid w:val="00ED1E2A"/>
    <w:rsid w:val="00ED45BB"/>
    <w:rsid w:val="00ED5727"/>
    <w:rsid w:val="00EE6B59"/>
    <w:rsid w:val="00EE7442"/>
    <w:rsid w:val="00EF03B9"/>
    <w:rsid w:val="00EF17FB"/>
    <w:rsid w:val="00EF4297"/>
    <w:rsid w:val="00EF637C"/>
    <w:rsid w:val="00EF7B20"/>
    <w:rsid w:val="00F006B6"/>
    <w:rsid w:val="00F00827"/>
    <w:rsid w:val="00F027F5"/>
    <w:rsid w:val="00F031EB"/>
    <w:rsid w:val="00F07170"/>
    <w:rsid w:val="00F15703"/>
    <w:rsid w:val="00F23055"/>
    <w:rsid w:val="00F23661"/>
    <w:rsid w:val="00F2435D"/>
    <w:rsid w:val="00F2502B"/>
    <w:rsid w:val="00F25823"/>
    <w:rsid w:val="00F26F35"/>
    <w:rsid w:val="00F31235"/>
    <w:rsid w:val="00F355BA"/>
    <w:rsid w:val="00F42424"/>
    <w:rsid w:val="00F42854"/>
    <w:rsid w:val="00F52F0F"/>
    <w:rsid w:val="00F5631C"/>
    <w:rsid w:val="00F57633"/>
    <w:rsid w:val="00F6108E"/>
    <w:rsid w:val="00F64504"/>
    <w:rsid w:val="00F67E0A"/>
    <w:rsid w:val="00F71016"/>
    <w:rsid w:val="00F75426"/>
    <w:rsid w:val="00F82C16"/>
    <w:rsid w:val="00F85551"/>
    <w:rsid w:val="00F93BF6"/>
    <w:rsid w:val="00F95FA1"/>
    <w:rsid w:val="00FA0273"/>
    <w:rsid w:val="00FA1DF1"/>
    <w:rsid w:val="00FA5E7C"/>
    <w:rsid w:val="00FB6B27"/>
    <w:rsid w:val="00FC023A"/>
    <w:rsid w:val="00FF00DC"/>
    <w:rsid w:val="00FF3F48"/>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4d4d4d,maroon"/>
    </o:shapedefaults>
    <o:shapelayout v:ext="edit">
      <o:idmap v:ext="edit" data="1"/>
    </o:shapelayout>
  </w:shapeDefaults>
  <w:decimalSymbol w:val="."/>
  <w:listSeparator w:val=","/>
  <w14:docId w14:val="00EFD48D"/>
  <w15:docId w15:val="{710D1289-E120-4B38-B20F-D21AE18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B59"/>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E6B59"/>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E6B59"/>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EE6B59"/>
    <w:pPr>
      <w:outlineLvl w:val="2"/>
    </w:pPr>
    <w:rPr>
      <w:sz w:val="24"/>
    </w:rPr>
  </w:style>
  <w:style w:type="paragraph" w:styleId="Heading4">
    <w:name w:val="heading 4"/>
    <w:basedOn w:val="Heading3"/>
    <w:next w:val="Normal"/>
    <w:uiPriority w:val="3"/>
    <w:semiHidden/>
    <w:qFormat/>
    <w:rsid w:val="00EE6B59"/>
    <w:pPr>
      <w:numPr>
        <w:ilvl w:val="3"/>
      </w:numPr>
      <w:spacing w:before="160" w:line="280" w:lineRule="atLeast"/>
      <w:outlineLvl w:val="3"/>
    </w:pPr>
    <w:rPr>
      <w:sz w:val="22"/>
    </w:rPr>
  </w:style>
  <w:style w:type="paragraph" w:styleId="Heading5">
    <w:name w:val="heading 5"/>
    <w:basedOn w:val="Heading4"/>
    <w:next w:val="Normal"/>
    <w:uiPriority w:val="3"/>
    <w:semiHidden/>
    <w:qFormat/>
    <w:rsid w:val="00EE6B59"/>
    <w:pPr>
      <w:numPr>
        <w:ilvl w:val="4"/>
      </w:numPr>
      <w:outlineLvl w:val="4"/>
    </w:pPr>
    <w:rPr>
      <w:b w:val="0"/>
      <w:bCs/>
      <w:color w:val="404040"/>
    </w:rPr>
  </w:style>
  <w:style w:type="paragraph" w:styleId="Heading6">
    <w:name w:val="heading 6"/>
    <w:basedOn w:val="Heading5"/>
    <w:next w:val="Normal"/>
    <w:uiPriority w:val="3"/>
    <w:semiHidden/>
    <w:qFormat/>
    <w:rsid w:val="00EE6B59"/>
    <w:pPr>
      <w:numPr>
        <w:ilvl w:val="5"/>
      </w:numPr>
      <w:outlineLvl w:val="5"/>
    </w:pPr>
    <w:rPr>
      <w:iCs/>
    </w:rPr>
  </w:style>
  <w:style w:type="paragraph" w:styleId="Heading7">
    <w:name w:val="heading 7"/>
    <w:basedOn w:val="Heading6"/>
    <w:next w:val="Normal"/>
    <w:uiPriority w:val="3"/>
    <w:semiHidden/>
    <w:qFormat/>
    <w:rsid w:val="00EE6B59"/>
    <w:pPr>
      <w:numPr>
        <w:ilvl w:val="6"/>
      </w:numPr>
      <w:outlineLvl w:val="6"/>
    </w:pPr>
    <w:rPr>
      <w:i/>
    </w:rPr>
  </w:style>
  <w:style w:type="paragraph" w:styleId="Heading8">
    <w:name w:val="heading 8"/>
    <w:basedOn w:val="Heading7"/>
    <w:next w:val="Normal"/>
    <w:uiPriority w:val="3"/>
    <w:semiHidden/>
    <w:qFormat/>
    <w:rsid w:val="00EE6B59"/>
    <w:pPr>
      <w:numPr>
        <w:ilvl w:val="7"/>
      </w:numPr>
      <w:outlineLvl w:val="7"/>
    </w:pPr>
    <w:rPr>
      <w:b/>
    </w:rPr>
  </w:style>
  <w:style w:type="paragraph" w:styleId="Heading9">
    <w:name w:val="heading 9"/>
    <w:basedOn w:val="Heading8"/>
    <w:next w:val="Normal"/>
    <w:uiPriority w:val="3"/>
    <w:semiHidden/>
    <w:qFormat/>
    <w:rsid w:val="00EE6B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6B59"/>
    <w:pPr>
      <w:spacing w:after="120"/>
    </w:pPr>
  </w:style>
  <w:style w:type="paragraph" w:customStyle="1" w:styleId="Bullet1">
    <w:name w:val="Bullet 1"/>
    <w:basedOn w:val="Normal"/>
    <w:uiPriority w:val="11"/>
    <w:qFormat/>
    <w:rsid w:val="00EE6B59"/>
    <w:pPr>
      <w:numPr>
        <w:numId w:val="8"/>
      </w:numPr>
      <w:spacing w:before="0" w:after="0"/>
    </w:pPr>
  </w:style>
  <w:style w:type="character" w:styleId="CommentReference">
    <w:name w:val="annotation reference"/>
    <w:uiPriority w:val="99"/>
    <w:semiHidden/>
    <w:rsid w:val="00EE6B59"/>
    <w:rPr>
      <w:rFonts w:ascii="Calibri" w:hAnsi="Calibri"/>
      <w:sz w:val="16"/>
    </w:rPr>
  </w:style>
  <w:style w:type="paragraph" w:styleId="CommentText">
    <w:name w:val="annotation text"/>
    <w:basedOn w:val="Normal"/>
    <w:link w:val="CommentTextChar"/>
    <w:uiPriority w:val="99"/>
    <w:rsid w:val="00EE6B59"/>
  </w:style>
  <w:style w:type="character" w:styleId="EndnoteReference">
    <w:name w:val="endnote reference"/>
    <w:uiPriority w:val="49"/>
    <w:semiHidden/>
    <w:rsid w:val="00EE6B59"/>
    <w:rPr>
      <w:vertAlign w:val="superscript"/>
    </w:rPr>
  </w:style>
  <w:style w:type="paragraph" w:styleId="EndnoteText">
    <w:name w:val="endnote text"/>
    <w:basedOn w:val="Normal"/>
    <w:uiPriority w:val="49"/>
    <w:semiHidden/>
    <w:rsid w:val="00EE6B59"/>
  </w:style>
  <w:style w:type="paragraph" w:styleId="Footer">
    <w:name w:val="footer"/>
    <w:link w:val="FooterChar"/>
    <w:uiPriority w:val="99"/>
    <w:rsid w:val="00EE6B59"/>
    <w:pPr>
      <w:tabs>
        <w:tab w:val="right" w:pos="8220"/>
      </w:tabs>
      <w:jc w:val="right"/>
    </w:pPr>
    <w:rPr>
      <w:rFonts w:ascii="Calibri" w:hAnsi="Calibri" w:cs="Calibri"/>
      <w:noProof/>
      <w:szCs w:val="22"/>
    </w:rPr>
  </w:style>
  <w:style w:type="character" w:styleId="FootnoteReference">
    <w:name w:val="footnote reference"/>
    <w:uiPriority w:val="49"/>
    <w:semiHidden/>
    <w:rsid w:val="00EE6B59"/>
    <w:rPr>
      <w:vertAlign w:val="superscript"/>
    </w:rPr>
  </w:style>
  <w:style w:type="paragraph" w:styleId="FootnoteText">
    <w:name w:val="footnote text"/>
    <w:basedOn w:val="Normal"/>
    <w:uiPriority w:val="49"/>
    <w:semiHidden/>
    <w:rsid w:val="00EE6B59"/>
  </w:style>
  <w:style w:type="character" w:styleId="Hyperlink">
    <w:name w:val="Hyperlink"/>
    <w:uiPriority w:val="99"/>
    <w:semiHidden/>
    <w:rsid w:val="00EE6B59"/>
    <w:rPr>
      <w:color w:val="660B68"/>
      <w:u w:val="none"/>
    </w:rPr>
  </w:style>
  <w:style w:type="character" w:styleId="LineNumber">
    <w:name w:val="line number"/>
    <w:basedOn w:val="DefaultParagraphFont"/>
    <w:uiPriority w:val="49"/>
    <w:semiHidden/>
    <w:rsid w:val="00EE6B59"/>
  </w:style>
  <w:style w:type="paragraph" w:styleId="MacroText">
    <w:name w:val="macro"/>
    <w:uiPriority w:val="49"/>
    <w:semiHidden/>
    <w:rsid w:val="00EE6B59"/>
    <w:rPr>
      <w:rFonts w:ascii="Calibri" w:hAnsi="Calibri" w:cs="Calibri"/>
      <w:sz w:val="22"/>
      <w:szCs w:val="22"/>
    </w:rPr>
  </w:style>
  <w:style w:type="character" w:styleId="PageNumber">
    <w:name w:val="page number"/>
    <w:uiPriority w:val="49"/>
    <w:semiHidden/>
    <w:rsid w:val="00EE6B59"/>
    <w:rPr>
      <w:b/>
      <w:color w:val="4C4C4C"/>
      <w:sz w:val="28"/>
    </w:rPr>
  </w:style>
  <w:style w:type="paragraph" w:customStyle="1" w:styleId="NormalIndentItalics">
    <w:name w:val="Normal Indent Italics"/>
    <w:basedOn w:val="NormalIndent"/>
    <w:uiPriority w:val="13"/>
    <w:semiHidden/>
    <w:qFormat/>
    <w:rsid w:val="00EE6B59"/>
    <w:rPr>
      <w:i/>
    </w:rPr>
  </w:style>
  <w:style w:type="paragraph" w:styleId="TableofAuthorities">
    <w:name w:val="table of authorities"/>
    <w:basedOn w:val="Normal"/>
    <w:next w:val="Normal"/>
    <w:uiPriority w:val="39"/>
    <w:semiHidden/>
    <w:rsid w:val="00EE6B59"/>
    <w:pPr>
      <w:tabs>
        <w:tab w:val="right" w:pos="9072"/>
      </w:tabs>
      <w:ind w:left="200" w:hanging="200"/>
    </w:pPr>
  </w:style>
  <w:style w:type="table" w:styleId="TableGrid">
    <w:name w:val="Table Grid"/>
    <w:basedOn w:val="TableNormal"/>
    <w:rsid w:val="00EE6B59"/>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E6B59"/>
    <w:pPr>
      <w:spacing w:before="0" w:after="120" w:line="240" w:lineRule="auto"/>
    </w:pPr>
    <w:rPr>
      <w:b/>
      <w:color w:val="660B68"/>
      <w:sz w:val="40"/>
    </w:rPr>
  </w:style>
  <w:style w:type="paragraph" w:styleId="TOC1">
    <w:name w:val="toc 1"/>
    <w:basedOn w:val="Normal"/>
    <w:next w:val="Normal"/>
    <w:uiPriority w:val="39"/>
    <w:semiHidden/>
    <w:rsid w:val="00EE6B59"/>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E6B59"/>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E6B59"/>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E6B59"/>
    <w:pPr>
      <w:tabs>
        <w:tab w:val="left" w:pos="1701"/>
      </w:tabs>
      <w:spacing w:before="0"/>
      <w:ind w:left="0" w:right="-7" w:firstLine="0"/>
    </w:pPr>
    <w:rPr>
      <w:caps/>
      <w:color w:val="800000"/>
    </w:rPr>
  </w:style>
  <w:style w:type="paragraph" w:styleId="Date">
    <w:name w:val="Date"/>
    <w:basedOn w:val="Normal"/>
    <w:next w:val="Normal"/>
    <w:uiPriority w:val="49"/>
    <w:semiHidden/>
    <w:rsid w:val="00EE6B59"/>
    <w:pPr>
      <w:ind w:left="1411"/>
    </w:pPr>
  </w:style>
  <w:style w:type="paragraph" w:customStyle="1" w:styleId="Quotation">
    <w:name w:val="Quotation"/>
    <w:basedOn w:val="Normal"/>
    <w:next w:val="Normal"/>
    <w:uiPriority w:val="49"/>
    <w:semiHidden/>
    <w:rsid w:val="00EE6B59"/>
    <w:pPr>
      <w:keepLines/>
      <w:spacing w:before="40"/>
      <w:jc w:val="center"/>
    </w:pPr>
    <w:rPr>
      <w:i/>
      <w:iCs/>
      <w:color w:val="003399"/>
      <w:sz w:val="18"/>
      <w:lang w:eastAsia="en-US"/>
    </w:rPr>
  </w:style>
  <w:style w:type="paragraph" w:styleId="TOC6">
    <w:name w:val="toc 6"/>
    <w:basedOn w:val="Normal"/>
    <w:next w:val="Normal"/>
    <w:autoRedefine/>
    <w:uiPriority w:val="49"/>
    <w:semiHidden/>
    <w:rsid w:val="00EE6B59"/>
    <w:pPr>
      <w:spacing w:before="40" w:after="20"/>
      <w:ind w:left="1418" w:hanging="1418"/>
    </w:pPr>
    <w:rPr>
      <w:b/>
      <w:sz w:val="16"/>
    </w:rPr>
  </w:style>
  <w:style w:type="paragraph" w:styleId="TOC7">
    <w:name w:val="toc 7"/>
    <w:basedOn w:val="Normal"/>
    <w:next w:val="Normal"/>
    <w:autoRedefine/>
    <w:uiPriority w:val="49"/>
    <w:semiHidden/>
    <w:rsid w:val="00EE6B59"/>
    <w:pPr>
      <w:ind w:left="1440"/>
    </w:pPr>
  </w:style>
  <w:style w:type="paragraph" w:styleId="TOC8">
    <w:name w:val="toc 8"/>
    <w:basedOn w:val="Normal"/>
    <w:next w:val="Normal"/>
    <w:autoRedefine/>
    <w:uiPriority w:val="49"/>
    <w:semiHidden/>
    <w:rsid w:val="00EE6B59"/>
    <w:pPr>
      <w:ind w:left="1680"/>
    </w:pPr>
  </w:style>
  <w:style w:type="paragraph" w:styleId="TOC9">
    <w:name w:val="toc 9"/>
    <w:basedOn w:val="Normal"/>
    <w:next w:val="Normal"/>
    <w:autoRedefine/>
    <w:uiPriority w:val="49"/>
    <w:semiHidden/>
    <w:rsid w:val="00EE6B59"/>
    <w:pPr>
      <w:ind w:left="2835" w:right="2835"/>
    </w:pPr>
  </w:style>
  <w:style w:type="numbering" w:styleId="111111">
    <w:name w:val="Outline List 2"/>
    <w:basedOn w:val="NoList"/>
    <w:uiPriority w:val="99"/>
    <w:semiHidden/>
    <w:unhideWhenUsed/>
    <w:rsid w:val="00EE6B59"/>
    <w:pPr>
      <w:numPr>
        <w:numId w:val="5"/>
      </w:numPr>
    </w:pPr>
  </w:style>
  <w:style w:type="paragraph" w:styleId="BodyText2">
    <w:name w:val="Body Text 2"/>
    <w:basedOn w:val="Normal"/>
    <w:semiHidden/>
    <w:rsid w:val="00EE6B59"/>
    <w:pPr>
      <w:spacing w:after="120" w:line="480" w:lineRule="auto"/>
    </w:pPr>
  </w:style>
  <w:style w:type="numbering" w:styleId="1ai">
    <w:name w:val="Outline List 1"/>
    <w:basedOn w:val="NoList"/>
    <w:uiPriority w:val="99"/>
    <w:semiHidden/>
    <w:unhideWhenUsed/>
    <w:rsid w:val="00EE6B59"/>
    <w:pPr>
      <w:numPr>
        <w:numId w:val="6"/>
      </w:numPr>
    </w:pPr>
  </w:style>
  <w:style w:type="paragraph" w:customStyle="1" w:styleId="ListBulletBold">
    <w:name w:val="List Bullet Bold"/>
    <w:basedOn w:val="Normal"/>
    <w:next w:val="Normal"/>
    <w:uiPriority w:val="49"/>
    <w:semiHidden/>
    <w:rsid w:val="00EE6B59"/>
    <w:rPr>
      <w:b/>
    </w:rPr>
  </w:style>
  <w:style w:type="paragraph" w:styleId="BalloonText">
    <w:name w:val="Balloon Text"/>
    <w:basedOn w:val="Normal"/>
    <w:uiPriority w:val="49"/>
    <w:semiHidden/>
    <w:rsid w:val="00EE6B59"/>
    <w:rPr>
      <w:sz w:val="16"/>
      <w:szCs w:val="16"/>
    </w:rPr>
  </w:style>
  <w:style w:type="paragraph" w:styleId="BlockText">
    <w:name w:val="Block Text"/>
    <w:basedOn w:val="Normal"/>
    <w:uiPriority w:val="49"/>
    <w:semiHidden/>
    <w:rsid w:val="00EE6B59"/>
    <w:pPr>
      <w:spacing w:after="120"/>
      <w:ind w:left="1440" w:right="1440"/>
    </w:pPr>
  </w:style>
  <w:style w:type="paragraph" w:styleId="BodyText3">
    <w:name w:val="Body Text 3"/>
    <w:basedOn w:val="Normal"/>
    <w:semiHidden/>
    <w:rsid w:val="00EE6B59"/>
    <w:pPr>
      <w:spacing w:after="120"/>
    </w:pPr>
    <w:rPr>
      <w:sz w:val="16"/>
      <w:szCs w:val="16"/>
    </w:rPr>
  </w:style>
  <w:style w:type="paragraph" w:styleId="BodyTextFirstIndent">
    <w:name w:val="Body Text First Indent"/>
    <w:basedOn w:val="BodyText"/>
    <w:semiHidden/>
    <w:rsid w:val="00EE6B59"/>
    <w:pPr>
      <w:ind w:firstLine="210"/>
    </w:pPr>
  </w:style>
  <w:style w:type="paragraph" w:styleId="BodyTextIndent">
    <w:name w:val="Body Text Indent"/>
    <w:basedOn w:val="Normal"/>
    <w:semiHidden/>
    <w:rsid w:val="00EE6B59"/>
    <w:pPr>
      <w:spacing w:after="120"/>
      <w:ind w:left="283"/>
    </w:pPr>
  </w:style>
  <w:style w:type="paragraph" w:styleId="BodyTextFirstIndent2">
    <w:name w:val="Body Text First Indent 2"/>
    <w:basedOn w:val="BodyTextIndent"/>
    <w:semiHidden/>
    <w:rsid w:val="00EE6B59"/>
    <w:pPr>
      <w:ind w:firstLine="210"/>
    </w:pPr>
  </w:style>
  <w:style w:type="paragraph" w:styleId="BodyTextIndent2">
    <w:name w:val="Body Text Indent 2"/>
    <w:basedOn w:val="Normal"/>
    <w:semiHidden/>
    <w:rsid w:val="00EE6B59"/>
    <w:pPr>
      <w:spacing w:after="120" w:line="480" w:lineRule="auto"/>
      <w:ind w:left="283"/>
    </w:pPr>
  </w:style>
  <w:style w:type="paragraph" w:styleId="BodyTextIndent3">
    <w:name w:val="Body Text Indent 3"/>
    <w:basedOn w:val="Normal"/>
    <w:semiHidden/>
    <w:rsid w:val="00EE6B59"/>
    <w:pPr>
      <w:spacing w:after="120"/>
      <w:ind w:left="283"/>
    </w:pPr>
    <w:rPr>
      <w:sz w:val="16"/>
      <w:szCs w:val="16"/>
    </w:rPr>
  </w:style>
  <w:style w:type="paragraph" w:styleId="NoteHeading">
    <w:name w:val="Note Heading"/>
    <w:basedOn w:val="Normal"/>
    <w:next w:val="Normal"/>
    <w:semiHidden/>
    <w:rsid w:val="00EE6B59"/>
  </w:style>
  <w:style w:type="paragraph" w:styleId="Closing">
    <w:name w:val="Closing"/>
    <w:basedOn w:val="Normal"/>
    <w:uiPriority w:val="49"/>
    <w:semiHidden/>
    <w:rsid w:val="00EE6B59"/>
    <w:pPr>
      <w:ind w:left="4252"/>
    </w:pPr>
  </w:style>
  <w:style w:type="paragraph" w:styleId="CommentSubject">
    <w:name w:val="annotation subject"/>
    <w:basedOn w:val="CommentText"/>
    <w:next w:val="CommentText"/>
    <w:uiPriority w:val="49"/>
    <w:semiHidden/>
    <w:rsid w:val="00EE6B59"/>
    <w:rPr>
      <w:b/>
      <w:bCs/>
    </w:rPr>
  </w:style>
  <w:style w:type="paragraph" w:styleId="DocumentMap">
    <w:name w:val="Document Map"/>
    <w:basedOn w:val="Normal"/>
    <w:uiPriority w:val="49"/>
    <w:semiHidden/>
    <w:rsid w:val="00EE6B59"/>
    <w:pPr>
      <w:shd w:val="clear" w:color="auto" w:fill="000080"/>
    </w:pPr>
  </w:style>
  <w:style w:type="paragraph" w:styleId="E-mailSignature">
    <w:name w:val="E-mail Signature"/>
    <w:basedOn w:val="Normal"/>
    <w:uiPriority w:val="49"/>
    <w:semiHidden/>
    <w:rsid w:val="00EE6B59"/>
  </w:style>
  <w:style w:type="paragraph" w:styleId="EnvelopeAddress">
    <w:name w:val="envelope address"/>
    <w:basedOn w:val="Normal"/>
    <w:uiPriority w:val="49"/>
    <w:semiHidden/>
    <w:rsid w:val="00EE6B59"/>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E6B59"/>
  </w:style>
  <w:style w:type="paragraph" w:styleId="HTMLAddress">
    <w:name w:val="HTML Address"/>
    <w:basedOn w:val="Normal"/>
    <w:uiPriority w:val="49"/>
    <w:semiHidden/>
    <w:rsid w:val="00EE6B59"/>
    <w:rPr>
      <w:i/>
      <w:iCs/>
    </w:rPr>
  </w:style>
  <w:style w:type="paragraph" w:styleId="HTMLPreformatted">
    <w:name w:val="HTML Preformatted"/>
    <w:basedOn w:val="Normal"/>
    <w:uiPriority w:val="49"/>
    <w:semiHidden/>
    <w:rsid w:val="00EE6B59"/>
  </w:style>
  <w:style w:type="paragraph" w:styleId="Index1">
    <w:name w:val="index 1"/>
    <w:basedOn w:val="Normal"/>
    <w:next w:val="Normal"/>
    <w:autoRedefine/>
    <w:uiPriority w:val="49"/>
    <w:semiHidden/>
    <w:rsid w:val="00EE6B59"/>
    <w:pPr>
      <w:ind w:left="200" w:hanging="200"/>
    </w:pPr>
  </w:style>
  <w:style w:type="paragraph" w:styleId="Index2">
    <w:name w:val="index 2"/>
    <w:basedOn w:val="Normal"/>
    <w:next w:val="Normal"/>
    <w:autoRedefine/>
    <w:uiPriority w:val="49"/>
    <w:semiHidden/>
    <w:rsid w:val="00EE6B59"/>
    <w:pPr>
      <w:ind w:left="400" w:hanging="200"/>
    </w:pPr>
  </w:style>
  <w:style w:type="paragraph" w:styleId="Index3">
    <w:name w:val="index 3"/>
    <w:basedOn w:val="Normal"/>
    <w:next w:val="Normal"/>
    <w:autoRedefine/>
    <w:uiPriority w:val="49"/>
    <w:semiHidden/>
    <w:rsid w:val="00EE6B59"/>
    <w:pPr>
      <w:ind w:left="600" w:hanging="200"/>
    </w:pPr>
  </w:style>
  <w:style w:type="paragraph" w:styleId="Index4">
    <w:name w:val="index 4"/>
    <w:basedOn w:val="Normal"/>
    <w:next w:val="Normal"/>
    <w:autoRedefine/>
    <w:uiPriority w:val="49"/>
    <w:semiHidden/>
    <w:rsid w:val="00EE6B59"/>
    <w:pPr>
      <w:ind w:left="800" w:hanging="200"/>
    </w:pPr>
  </w:style>
  <w:style w:type="paragraph" w:styleId="Index5">
    <w:name w:val="index 5"/>
    <w:basedOn w:val="Normal"/>
    <w:next w:val="Normal"/>
    <w:autoRedefine/>
    <w:uiPriority w:val="49"/>
    <w:semiHidden/>
    <w:rsid w:val="00EE6B59"/>
    <w:pPr>
      <w:ind w:left="1000" w:hanging="200"/>
    </w:pPr>
  </w:style>
  <w:style w:type="paragraph" w:styleId="Index6">
    <w:name w:val="index 6"/>
    <w:basedOn w:val="Normal"/>
    <w:next w:val="Normal"/>
    <w:autoRedefine/>
    <w:uiPriority w:val="49"/>
    <w:semiHidden/>
    <w:rsid w:val="00EE6B59"/>
    <w:pPr>
      <w:ind w:left="1200" w:hanging="200"/>
    </w:pPr>
  </w:style>
  <w:style w:type="paragraph" w:styleId="Index7">
    <w:name w:val="index 7"/>
    <w:basedOn w:val="Normal"/>
    <w:next w:val="Normal"/>
    <w:autoRedefine/>
    <w:uiPriority w:val="49"/>
    <w:semiHidden/>
    <w:rsid w:val="00EE6B59"/>
    <w:pPr>
      <w:ind w:left="1400" w:hanging="200"/>
    </w:pPr>
  </w:style>
  <w:style w:type="paragraph" w:styleId="Index8">
    <w:name w:val="index 8"/>
    <w:basedOn w:val="Normal"/>
    <w:next w:val="Normal"/>
    <w:autoRedefine/>
    <w:uiPriority w:val="49"/>
    <w:semiHidden/>
    <w:rsid w:val="00EE6B59"/>
    <w:pPr>
      <w:ind w:left="1600" w:hanging="200"/>
    </w:pPr>
  </w:style>
  <w:style w:type="paragraph" w:styleId="Index9">
    <w:name w:val="index 9"/>
    <w:basedOn w:val="Normal"/>
    <w:next w:val="Normal"/>
    <w:autoRedefine/>
    <w:uiPriority w:val="49"/>
    <w:semiHidden/>
    <w:rsid w:val="00EE6B59"/>
    <w:pPr>
      <w:ind w:left="1800" w:hanging="200"/>
    </w:pPr>
  </w:style>
  <w:style w:type="paragraph" w:styleId="IndexHeading">
    <w:name w:val="index heading"/>
    <w:basedOn w:val="Normal"/>
    <w:next w:val="Index1"/>
    <w:uiPriority w:val="49"/>
    <w:semiHidden/>
    <w:rsid w:val="00EE6B59"/>
    <w:rPr>
      <w:b/>
      <w:bCs/>
    </w:rPr>
  </w:style>
  <w:style w:type="paragraph" w:styleId="List">
    <w:name w:val="List"/>
    <w:basedOn w:val="Normal"/>
    <w:uiPriority w:val="49"/>
    <w:semiHidden/>
    <w:rsid w:val="00EE6B59"/>
    <w:pPr>
      <w:ind w:left="283" w:hanging="283"/>
    </w:pPr>
  </w:style>
  <w:style w:type="paragraph" w:styleId="List2">
    <w:name w:val="List 2"/>
    <w:basedOn w:val="Normal"/>
    <w:uiPriority w:val="49"/>
    <w:semiHidden/>
    <w:rsid w:val="00EE6B59"/>
    <w:pPr>
      <w:ind w:left="566" w:hanging="283"/>
    </w:pPr>
  </w:style>
  <w:style w:type="paragraph" w:styleId="List3">
    <w:name w:val="List 3"/>
    <w:basedOn w:val="Normal"/>
    <w:uiPriority w:val="49"/>
    <w:semiHidden/>
    <w:rsid w:val="00EE6B59"/>
    <w:pPr>
      <w:ind w:left="849" w:hanging="283"/>
    </w:pPr>
  </w:style>
  <w:style w:type="paragraph" w:styleId="List4">
    <w:name w:val="List 4"/>
    <w:basedOn w:val="Normal"/>
    <w:uiPriority w:val="49"/>
    <w:semiHidden/>
    <w:rsid w:val="00EE6B59"/>
    <w:pPr>
      <w:ind w:left="1132" w:hanging="283"/>
    </w:pPr>
  </w:style>
  <w:style w:type="paragraph" w:styleId="List5">
    <w:name w:val="List 5"/>
    <w:basedOn w:val="Normal"/>
    <w:uiPriority w:val="49"/>
    <w:semiHidden/>
    <w:rsid w:val="00EE6B59"/>
    <w:pPr>
      <w:ind w:left="1415" w:hanging="283"/>
    </w:pPr>
  </w:style>
  <w:style w:type="paragraph" w:styleId="ListBullet4">
    <w:name w:val="List Bullet 4"/>
    <w:basedOn w:val="Normal"/>
    <w:uiPriority w:val="49"/>
    <w:semiHidden/>
    <w:rsid w:val="00EE6B59"/>
    <w:pPr>
      <w:tabs>
        <w:tab w:val="num" w:pos="1209"/>
      </w:tabs>
      <w:ind w:left="1209" w:hanging="360"/>
    </w:pPr>
  </w:style>
  <w:style w:type="paragraph" w:styleId="ListBullet5">
    <w:name w:val="List Bullet 5"/>
    <w:basedOn w:val="Normal"/>
    <w:uiPriority w:val="49"/>
    <w:semiHidden/>
    <w:rsid w:val="00EE6B59"/>
    <w:pPr>
      <w:tabs>
        <w:tab w:val="num" w:pos="1492"/>
      </w:tabs>
      <w:ind w:left="1492" w:hanging="360"/>
    </w:pPr>
  </w:style>
  <w:style w:type="paragraph" w:styleId="ListContinue4">
    <w:name w:val="List Continue 4"/>
    <w:basedOn w:val="Normal"/>
    <w:uiPriority w:val="49"/>
    <w:semiHidden/>
    <w:rsid w:val="00EE6B59"/>
    <w:pPr>
      <w:spacing w:after="120"/>
      <w:ind w:left="1132"/>
    </w:pPr>
  </w:style>
  <w:style w:type="paragraph" w:styleId="ListContinue5">
    <w:name w:val="List Continue 5"/>
    <w:basedOn w:val="Normal"/>
    <w:uiPriority w:val="49"/>
    <w:semiHidden/>
    <w:rsid w:val="00EE6B59"/>
    <w:pPr>
      <w:spacing w:after="120"/>
      <w:ind w:left="1415"/>
    </w:pPr>
  </w:style>
  <w:style w:type="paragraph" w:styleId="ListNumber4">
    <w:name w:val="List Number 4"/>
    <w:basedOn w:val="Normal"/>
    <w:uiPriority w:val="49"/>
    <w:semiHidden/>
    <w:rsid w:val="00EE6B59"/>
    <w:pPr>
      <w:tabs>
        <w:tab w:val="num" w:pos="1209"/>
      </w:tabs>
      <w:ind w:left="1209" w:hanging="360"/>
    </w:pPr>
  </w:style>
  <w:style w:type="paragraph" w:styleId="ListNumber5">
    <w:name w:val="List Number 5"/>
    <w:basedOn w:val="Normal"/>
    <w:uiPriority w:val="49"/>
    <w:semiHidden/>
    <w:rsid w:val="00EE6B59"/>
    <w:pPr>
      <w:tabs>
        <w:tab w:val="num" w:pos="1492"/>
      </w:tabs>
      <w:ind w:left="1492" w:hanging="360"/>
    </w:pPr>
  </w:style>
  <w:style w:type="paragraph" w:styleId="MessageHeader">
    <w:name w:val="Message Header"/>
    <w:basedOn w:val="Normal"/>
    <w:uiPriority w:val="49"/>
    <w:semiHidden/>
    <w:rsid w:val="00EE6B59"/>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E6B59"/>
    <w:rPr>
      <w:sz w:val="24"/>
      <w:szCs w:val="24"/>
    </w:rPr>
  </w:style>
  <w:style w:type="paragraph" w:styleId="PlainText">
    <w:name w:val="Plain Text"/>
    <w:basedOn w:val="Normal"/>
    <w:uiPriority w:val="49"/>
    <w:semiHidden/>
    <w:rsid w:val="00EE6B59"/>
  </w:style>
  <w:style w:type="paragraph" w:styleId="Salutation">
    <w:name w:val="Salutation"/>
    <w:basedOn w:val="Normal"/>
    <w:next w:val="Normal"/>
    <w:uiPriority w:val="49"/>
    <w:semiHidden/>
    <w:rsid w:val="00EE6B59"/>
  </w:style>
  <w:style w:type="paragraph" w:styleId="Signature">
    <w:name w:val="Signature"/>
    <w:basedOn w:val="Normal"/>
    <w:uiPriority w:val="49"/>
    <w:semiHidden/>
    <w:rsid w:val="00EE6B59"/>
    <w:pPr>
      <w:ind w:left="4252"/>
    </w:pPr>
  </w:style>
  <w:style w:type="paragraph" w:styleId="Subtitle">
    <w:name w:val="Subtitle"/>
    <w:basedOn w:val="Normal"/>
    <w:link w:val="SubtitleChar"/>
    <w:uiPriority w:val="29"/>
    <w:qFormat/>
    <w:rsid w:val="00EE6B59"/>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EE6B59"/>
    <w:pPr>
      <w:spacing w:before="120"/>
    </w:pPr>
    <w:rPr>
      <w:b/>
      <w:bCs/>
      <w:sz w:val="24"/>
      <w:szCs w:val="24"/>
    </w:rPr>
  </w:style>
  <w:style w:type="paragraph" w:styleId="TOCHeading">
    <w:name w:val="TOC Heading"/>
    <w:uiPriority w:val="29"/>
    <w:unhideWhenUsed/>
    <w:qFormat/>
    <w:rsid w:val="00EE6B59"/>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E6B59"/>
    <w:pPr>
      <w:numPr>
        <w:numId w:val="9"/>
      </w:numPr>
      <w:spacing w:before="0" w:after="0"/>
    </w:pPr>
  </w:style>
  <w:style w:type="paragraph" w:customStyle="1" w:styleId="QuoteName">
    <w:name w:val="Quote Name"/>
    <w:basedOn w:val="Normal"/>
    <w:uiPriority w:val="49"/>
    <w:semiHidden/>
    <w:rsid w:val="00EE6B59"/>
    <w:pPr>
      <w:spacing w:after="0" w:line="240" w:lineRule="auto"/>
      <w:ind w:left="902" w:right="822"/>
      <w:jc w:val="right"/>
    </w:pPr>
    <w:rPr>
      <w:caps/>
      <w:color w:val="800000"/>
      <w:sz w:val="16"/>
    </w:rPr>
  </w:style>
  <w:style w:type="paragraph" w:styleId="Header">
    <w:name w:val="header"/>
    <w:basedOn w:val="Normal"/>
    <w:uiPriority w:val="24"/>
    <w:semiHidden/>
    <w:rsid w:val="00EE6B59"/>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E6B59"/>
    <w:pPr>
      <w:keepNext/>
      <w:keepLines/>
      <w:tabs>
        <w:tab w:val="left" w:pos="851"/>
      </w:tabs>
      <w:spacing w:before="240" w:after="120" w:line="240" w:lineRule="auto"/>
    </w:pPr>
    <w:rPr>
      <w:b/>
    </w:rPr>
  </w:style>
  <w:style w:type="paragraph" w:customStyle="1" w:styleId="TableDash">
    <w:name w:val="Table Dash"/>
    <w:basedOn w:val="Normal"/>
    <w:uiPriority w:val="10"/>
    <w:rsid w:val="00EE6B59"/>
    <w:pPr>
      <w:numPr>
        <w:ilvl w:val="1"/>
        <w:numId w:val="9"/>
      </w:numPr>
      <w:spacing w:before="0" w:after="0"/>
    </w:pPr>
    <w:rPr>
      <w:sz w:val="20"/>
    </w:rPr>
  </w:style>
  <w:style w:type="paragraph" w:styleId="ListBullet">
    <w:name w:val="List Bullet"/>
    <w:basedOn w:val="Normal"/>
    <w:uiPriority w:val="99"/>
    <w:semiHidden/>
    <w:rsid w:val="00EE6B59"/>
    <w:pPr>
      <w:numPr>
        <w:numId w:val="1"/>
      </w:numPr>
      <w:contextualSpacing/>
    </w:pPr>
  </w:style>
  <w:style w:type="paragraph" w:styleId="ListBullet2">
    <w:name w:val="List Bullet 2"/>
    <w:basedOn w:val="Normal"/>
    <w:uiPriority w:val="99"/>
    <w:semiHidden/>
    <w:rsid w:val="00EE6B59"/>
    <w:pPr>
      <w:numPr>
        <w:numId w:val="2"/>
      </w:numPr>
      <w:contextualSpacing/>
    </w:pPr>
  </w:style>
  <w:style w:type="paragraph" w:styleId="ListContinue">
    <w:name w:val="List Continue"/>
    <w:basedOn w:val="Normal"/>
    <w:uiPriority w:val="8"/>
    <w:semiHidden/>
    <w:qFormat/>
    <w:rsid w:val="00EE6B59"/>
    <w:pPr>
      <w:spacing w:before="0" w:after="0"/>
      <w:ind w:left="1077"/>
    </w:pPr>
  </w:style>
  <w:style w:type="paragraph" w:styleId="ListContinue2">
    <w:name w:val="List Continue 2"/>
    <w:basedOn w:val="Normal"/>
    <w:uiPriority w:val="8"/>
    <w:semiHidden/>
    <w:rsid w:val="00EE6B59"/>
    <w:pPr>
      <w:spacing w:before="0" w:after="0"/>
      <w:ind w:left="1361"/>
    </w:pPr>
  </w:style>
  <w:style w:type="paragraph" w:customStyle="1" w:styleId="Spacer">
    <w:name w:val="Spacer"/>
    <w:basedOn w:val="Normal"/>
    <w:uiPriority w:val="13"/>
    <w:qFormat/>
    <w:rsid w:val="00EE6B59"/>
    <w:pPr>
      <w:spacing w:before="0" w:after="0" w:line="120" w:lineRule="atLeast"/>
    </w:pPr>
    <w:rPr>
      <w:sz w:val="12"/>
    </w:rPr>
  </w:style>
  <w:style w:type="paragraph" w:customStyle="1" w:styleId="Pictwide">
    <w:name w:val="Pict wide"/>
    <w:basedOn w:val="Normal"/>
    <w:next w:val="Normal"/>
    <w:uiPriority w:val="13"/>
    <w:semiHidden/>
    <w:qFormat/>
    <w:rsid w:val="00EE6B59"/>
    <w:pPr>
      <w:widowControl w:val="0"/>
      <w:spacing w:before="160" w:after="320" w:line="240" w:lineRule="auto"/>
    </w:pPr>
    <w:rPr>
      <w:sz w:val="24"/>
    </w:rPr>
  </w:style>
  <w:style w:type="paragraph" w:styleId="TOC4">
    <w:name w:val="toc 4"/>
    <w:basedOn w:val="Normal"/>
    <w:next w:val="Normal"/>
    <w:autoRedefine/>
    <w:uiPriority w:val="39"/>
    <w:semiHidden/>
    <w:unhideWhenUsed/>
    <w:rsid w:val="00EE6B59"/>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E6B59"/>
    <w:pPr>
      <w:spacing w:before="0" w:after="0"/>
      <w:ind w:left="1644"/>
    </w:pPr>
  </w:style>
  <w:style w:type="paragraph" w:styleId="ListBullet3">
    <w:name w:val="List Bullet 3"/>
    <w:basedOn w:val="Normal"/>
    <w:uiPriority w:val="99"/>
    <w:semiHidden/>
    <w:unhideWhenUsed/>
    <w:rsid w:val="00EE6B59"/>
    <w:pPr>
      <w:numPr>
        <w:numId w:val="3"/>
      </w:numPr>
      <w:contextualSpacing/>
    </w:pPr>
  </w:style>
  <w:style w:type="paragraph" w:customStyle="1" w:styleId="TableText">
    <w:name w:val="Table Text"/>
    <w:basedOn w:val="Normal"/>
    <w:uiPriority w:val="15"/>
    <w:qFormat/>
    <w:rsid w:val="00EE6B59"/>
    <w:pPr>
      <w:spacing w:before="60" w:after="60" w:line="240" w:lineRule="auto"/>
    </w:pPr>
    <w:rPr>
      <w:sz w:val="20"/>
    </w:rPr>
  </w:style>
  <w:style w:type="numbering" w:styleId="ArticleSection">
    <w:name w:val="Outline List 3"/>
    <w:basedOn w:val="NoList"/>
    <w:uiPriority w:val="99"/>
    <w:semiHidden/>
    <w:unhideWhenUsed/>
    <w:rsid w:val="00EE6B59"/>
    <w:pPr>
      <w:numPr>
        <w:numId w:val="7"/>
      </w:numPr>
    </w:pPr>
  </w:style>
  <w:style w:type="paragraph" w:styleId="ListNumber">
    <w:name w:val="List Number"/>
    <w:basedOn w:val="Normal"/>
    <w:uiPriority w:val="7"/>
    <w:semiHidden/>
    <w:qFormat/>
    <w:rsid w:val="00EE6B59"/>
    <w:pPr>
      <w:numPr>
        <w:numId w:val="10"/>
      </w:numPr>
      <w:contextualSpacing/>
    </w:pPr>
  </w:style>
  <w:style w:type="table" w:styleId="ColorfulGrid">
    <w:name w:val="Colorful Grid"/>
    <w:basedOn w:val="TableNormal"/>
    <w:uiPriority w:val="73"/>
    <w:semiHidden/>
    <w:rsid w:val="00EE6B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E6B5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E6B59"/>
    <w:pPr>
      <w:keepNext/>
      <w:spacing w:before="40" w:after="40"/>
    </w:pPr>
    <w:rPr>
      <w:color w:val="FFFFFF" w:themeColor="background1"/>
      <w:sz w:val="24"/>
    </w:rPr>
  </w:style>
  <w:style w:type="paragraph" w:customStyle="1" w:styleId="CaptionTable">
    <w:name w:val="Caption Table"/>
    <w:basedOn w:val="Normal"/>
    <w:uiPriority w:val="14"/>
    <w:semiHidden/>
    <w:rsid w:val="00EE6B59"/>
    <w:rPr>
      <w:b/>
    </w:rPr>
  </w:style>
  <w:style w:type="paragraph" w:styleId="ListNumber2">
    <w:name w:val="List Number 2"/>
    <w:basedOn w:val="Normal"/>
    <w:uiPriority w:val="7"/>
    <w:semiHidden/>
    <w:rsid w:val="00EE6B59"/>
    <w:pPr>
      <w:numPr>
        <w:ilvl w:val="1"/>
        <w:numId w:val="10"/>
      </w:numPr>
      <w:contextualSpacing/>
    </w:pPr>
  </w:style>
  <w:style w:type="table" w:styleId="ColorfulGrid-Accent2">
    <w:name w:val="Colorful Grid Accent 2"/>
    <w:basedOn w:val="TableNormal"/>
    <w:uiPriority w:val="73"/>
    <w:semiHidden/>
    <w:rsid w:val="00EE6B5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E6B59"/>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6B59"/>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E6B59"/>
    <w:pPr>
      <w:numPr>
        <w:ilvl w:val="1"/>
      </w:numPr>
    </w:pPr>
  </w:style>
  <w:style w:type="paragraph" w:customStyle="1" w:styleId="Bullet3">
    <w:name w:val="Bullet 3"/>
    <w:basedOn w:val="Bullet2"/>
    <w:uiPriority w:val="11"/>
    <w:qFormat/>
    <w:rsid w:val="00EE6B59"/>
    <w:pPr>
      <w:numPr>
        <w:ilvl w:val="2"/>
      </w:numPr>
    </w:pPr>
  </w:style>
  <w:style w:type="paragraph" w:styleId="TableofFigures">
    <w:name w:val="table of figures"/>
    <w:basedOn w:val="TOCHeading"/>
    <w:next w:val="Normal"/>
    <w:uiPriority w:val="99"/>
    <w:semiHidden/>
    <w:unhideWhenUsed/>
    <w:rsid w:val="00EE6B59"/>
    <w:pPr>
      <w:spacing w:after="0"/>
      <w:ind w:left="0"/>
    </w:pPr>
  </w:style>
  <w:style w:type="paragraph" w:styleId="ListNumber3">
    <w:name w:val="List Number 3"/>
    <w:basedOn w:val="Normal"/>
    <w:uiPriority w:val="7"/>
    <w:semiHidden/>
    <w:rsid w:val="00EE6B59"/>
    <w:pPr>
      <w:numPr>
        <w:ilvl w:val="2"/>
        <w:numId w:val="10"/>
      </w:numPr>
      <w:contextualSpacing/>
    </w:pPr>
  </w:style>
  <w:style w:type="table" w:styleId="LightShading-Accent1">
    <w:name w:val="Light Shading Accent 1"/>
    <w:basedOn w:val="TableNormal"/>
    <w:uiPriority w:val="60"/>
    <w:semiHidden/>
    <w:rsid w:val="00EE6B59"/>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E6B59"/>
    <w:pPr>
      <w:spacing w:after="120" w:line="240" w:lineRule="auto"/>
    </w:pPr>
    <w:rPr>
      <w:i/>
      <w:sz w:val="18"/>
    </w:rPr>
  </w:style>
  <w:style w:type="paragraph" w:customStyle="1" w:styleId="FrontPagesLeft">
    <w:name w:val="Front Pages Left"/>
    <w:basedOn w:val="Normal"/>
    <w:uiPriority w:val="31"/>
    <w:semiHidden/>
    <w:qFormat/>
    <w:rsid w:val="00EE6B59"/>
    <w:pPr>
      <w:spacing w:before="0" w:after="0" w:line="200" w:lineRule="atLeast"/>
      <w:ind w:right="6237"/>
    </w:pPr>
    <w:rPr>
      <w:color w:val="000000"/>
      <w:sz w:val="18"/>
      <w:lang w:eastAsia="en-US"/>
    </w:rPr>
  </w:style>
  <w:style w:type="paragraph" w:styleId="ListParagraph">
    <w:name w:val="List Paragraph"/>
    <w:basedOn w:val="Normal"/>
    <w:uiPriority w:val="34"/>
    <w:qFormat/>
    <w:rsid w:val="00EE6B59"/>
    <w:pPr>
      <w:ind w:left="720"/>
      <w:contextualSpacing/>
    </w:pPr>
  </w:style>
  <w:style w:type="paragraph" w:styleId="NormalIndent">
    <w:name w:val="Normal Indent"/>
    <w:basedOn w:val="Normal"/>
    <w:semiHidden/>
    <w:rsid w:val="00EE6B59"/>
    <w:pPr>
      <w:spacing w:line="240" w:lineRule="exact"/>
      <w:ind w:left="1077" w:right="284"/>
    </w:pPr>
  </w:style>
  <w:style w:type="table" w:styleId="ColorfulGrid-Accent3">
    <w:name w:val="Colorful Grid Accent 3"/>
    <w:basedOn w:val="TableNormal"/>
    <w:uiPriority w:val="73"/>
    <w:semiHidden/>
    <w:rsid w:val="00EE6B5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E6B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E6B59"/>
    <w:rPr>
      <w:rFonts w:ascii="Calibri" w:hAnsi="Calibri"/>
      <w:b/>
      <w:bCs/>
      <w:smallCaps/>
      <w:spacing w:val="5"/>
    </w:rPr>
  </w:style>
  <w:style w:type="character" w:styleId="Emphasis">
    <w:name w:val="Emphasis"/>
    <w:uiPriority w:val="20"/>
    <w:semiHidden/>
    <w:qFormat/>
    <w:rsid w:val="00EE6B59"/>
    <w:rPr>
      <w:i/>
      <w:iCs/>
    </w:rPr>
  </w:style>
  <w:style w:type="character" w:styleId="FollowedHyperlink">
    <w:name w:val="FollowedHyperlink"/>
    <w:uiPriority w:val="99"/>
    <w:semiHidden/>
    <w:unhideWhenUsed/>
    <w:rsid w:val="00EE6B59"/>
    <w:rPr>
      <w:color w:val="800080"/>
      <w:u w:val="single"/>
    </w:rPr>
  </w:style>
  <w:style w:type="character" w:styleId="HTMLAcronym">
    <w:name w:val="HTML Acronym"/>
    <w:basedOn w:val="DefaultParagraphFont"/>
    <w:uiPriority w:val="99"/>
    <w:semiHidden/>
    <w:rsid w:val="00EE6B59"/>
  </w:style>
  <w:style w:type="character" w:styleId="HTMLCite">
    <w:name w:val="HTML Cite"/>
    <w:uiPriority w:val="99"/>
    <w:semiHidden/>
    <w:rsid w:val="00EE6B59"/>
    <w:rPr>
      <w:i/>
      <w:iCs/>
    </w:rPr>
  </w:style>
  <w:style w:type="character" w:styleId="HTMLCode">
    <w:name w:val="HTML Code"/>
    <w:uiPriority w:val="99"/>
    <w:semiHidden/>
    <w:rsid w:val="00EE6B59"/>
    <w:rPr>
      <w:sz w:val="20"/>
      <w:szCs w:val="20"/>
    </w:rPr>
  </w:style>
  <w:style w:type="character" w:styleId="HTMLDefinition">
    <w:name w:val="HTML Definition"/>
    <w:uiPriority w:val="99"/>
    <w:semiHidden/>
    <w:rsid w:val="00EE6B59"/>
    <w:rPr>
      <w:i/>
      <w:iCs/>
    </w:rPr>
  </w:style>
  <w:style w:type="character" w:styleId="HTMLKeyboard">
    <w:name w:val="HTML Keyboard"/>
    <w:uiPriority w:val="99"/>
    <w:semiHidden/>
    <w:rsid w:val="00EE6B59"/>
    <w:rPr>
      <w:sz w:val="20"/>
      <w:szCs w:val="20"/>
    </w:rPr>
  </w:style>
  <w:style w:type="character" w:styleId="HTMLSample">
    <w:name w:val="HTML Sample"/>
    <w:uiPriority w:val="99"/>
    <w:semiHidden/>
    <w:rsid w:val="00EE6B59"/>
    <w:rPr>
      <w:sz w:val="24"/>
      <w:szCs w:val="24"/>
    </w:rPr>
  </w:style>
  <w:style w:type="character" w:styleId="HTMLTypewriter">
    <w:name w:val="HTML Typewriter"/>
    <w:uiPriority w:val="99"/>
    <w:semiHidden/>
    <w:rsid w:val="00EE6B59"/>
    <w:rPr>
      <w:sz w:val="20"/>
      <w:szCs w:val="20"/>
    </w:rPr>
  </w:style>
  <w:style w:type="character" w:styleId="HTMLVariable">
    <w:name w:val="HTML Variable"/>
    <w:uiPriority w:val="99"/>
    <w:semiHidden/>
    <w:rsid w:val="00EE6B59"/>
    <w:rPr>
      <w:i/>
      <w:iCs/>
    </w:rPr>
  </w:style>
  <w:style w:type="character" w:styleId="PlaceholderText">
    <w:name w:val="Placeholder Text"/>
    <w:uiPriority w:val="99"/>
    <w:semiHidden/>
    <w:rsid w:val="00EE6B59"/>
    <w:rPr>
      <w:color w:val="808080"/>
    </w:rPr>
  </w:style>
  <w:style w:type="paragraph" w:customStyle="1" w:styleId="Attachment1">
    <w:name w:val="Attachment 1"/>
    <w:next w:val="Normal"/>
    <w:uiPriority w:val="19"/>
    <w:semiHidden/>
    <w:qFormat/>
    <w:rsid w:val="00EE6B59"/>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E6B59"/>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E6B59"/>
    <w:pPr>
      <w:spacing w:line="240" w:lineRule="auto"/>
      <w:contextualSpacing/>
    </w:pPr>
    <w:rPr>
      <w:b w:val="0"/>
      <w:sz w:val="40"/>
      <w:szCs w:val="40"/>
    </w:rPr>
  </w:style>
  <w:style w:type="paragraph" w:customStyle="1" w:styleId="NoteNormal">
    <w:name w:val="Note Normal"/>
    <w:basedOn w:val="Normal"/>
    <w:next w:val="Normal"/>
    <w:uiPriority w:val="49"/>
    <w:rsid w:val="00EE6B59"/>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E6B5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E6B5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E6B5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E6B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E6B5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E6B5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E6B5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E6B5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E6B5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E6B5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E6B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E6B5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E6B5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E6B5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E6B5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E6B5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E6B5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E6B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E6B5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E6B5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E6B5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E6B5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E6B5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E6B5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E6B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E6B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E6B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E6B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E6B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E6B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E6B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E6B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E6B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E6B5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E6B5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E6B5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E6B5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E6B5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E6B5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E6B5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E6B5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E6B5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E6B5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E6B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E6B5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E6B5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E6B5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E6B5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E6B5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E6B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E6B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E6B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E6B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E6B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E6B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E6B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E6B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E6B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E6B5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E6B5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E6B5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E6B5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E6B5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E6B5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E6B5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E6B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E6B5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E6B5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E6B5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E6B5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E6B5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E6B5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E6B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E6B5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E6B5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E6B5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E6B5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E6B5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E6B5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E6B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E6B5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6B5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6B5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6B5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6B5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6B5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6B5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6B5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6B5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6B5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6B5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6B5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6B5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6B5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6B5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6B5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E6B5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6B5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6B5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6B5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6B5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6B5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6B5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E6B5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6B5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6B5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6B5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6B5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6B5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6B5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6B5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E6B5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6B5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6B5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6B5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6B5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6B5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6B5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6B5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6B5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6B5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E6B59"/>
    <w:pPr>
      <w:numPr>
        <w:ilvl w:val="0"/>
      </w:numPr>
    </w:pPr>
  </w:style>
  <w:style w:type="paragraph" w:customStyle="1" w:styleId="Num1">
    <w:name w:val="Num1"/>
    <w:basedOn w:val="Normal"/>
    <w:rsid w:val="00EE6B59"/>
    <w:pPr>
      <w:numPr>
        <w:numId w:val="11"/>
      </w:numPr>
    </w:pPr>
  </w:style>
  <w:style w:type="character" w:customStyle="1" w:styleId="FooterChar">
    <w:name w:val="Footer Char"/>
    <w:basedOn w:val="DefaultParagraphFont"/>
    <w:link w:val="Footer"/>
    <w:uiPriority w:val="99"/>
    <w:rsid w:val="00EE6B59"/>
    <w:rPr>
      <w:rFonts w:ascii="Calibri" w:hAnsi="Calibri" w:cs="Calibri"/>
      <w:noProof/>
      <w:szCs w:val="22"/>
    </w:rPr>
  </w:style>
  <w:style w:type="paragraph" w:customStyle="1" w:styleId="Num2">
    <w:name w:val="Num2"/>
    <w:basedOn w:val="Normal"/>
    <w:rsid w:val="00EE6B59"/>
    <w:pPr>
      <w:numPr>
        <w:ilvl w:val="1"/>
        <w:numId w:val="11"/>
      </w:numPr>
    </w:pPr>
  </w:style>
  <w:style w:type="paragraph" w:customStyle="1" w:styleId="Num3">
    <w:name w:val="Num3"/>
    <w:basedOn w:val="Normal"/>
    <w:rsid w:val="00EE6B59"/>
    <w:pPr>
      <w:numPr>
        <w:ilvl w:val="2"/>
        <w:numId w:val="11"/>
      </w:numPr>
    </w:pPr>
  </w:style>
  <w:style w:type="character" w:customStyle="1" w:styleId="SubtitleChar">
    <w:name w:val="Subtitle Char"/>
    <w:basedOn w:val="DefaultParagraphFont"/>
    <w:link w:val="Subtitle"/>
    <w:uiPriority w:val="29"/>
    <w:rsid w:val="005B29CD"/>
    <w:rPr>
      <w:rFonts w:ascii="Calibri" w:hAnsi="Calibri" w:cs="Calibri"/>
      <w:color w:val="4C4C4C"/>
      <w:sz w:val="32"/>
      <w:szCs w:val="24"/>
      <w:lang w:eastAsia="en-US"/>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EE6B59"/>
    <w:pPr>
      <w:shd w:val="clear" w:color="auto" w:fill="D9D9D9" w:themeFill="background1" w:themeFillShade="D9"/>
    </w:pPr>
    <w:rPr>
      <w:sz w:val="20"/>
    </w:rPr>
  </w:style>
  <w:style w:type="paragraph" w:customStyle="1" w:styleId="NoteNormalshadedbullet">
    <w:name w:val="Note Normal shaded bullet"/>
    <w:basedOn w:val="NoteNormalshaded"/>
    <w:qFormat/>
    <w:rsid w:val="00EE6B59"/>
    <w:pPr>
      <w:numPr>
        <w:numId w:val="12"/>
      </w:numPr>
      <w:ind w:left="360"/>
    </w:pPr>
  </w:style>
  <w:style w:type="paragraph" w:customStyle="1" w:styleId="TableTextBold">
    <w:name w:val="Table Text Bold"/>
    <w:basedOn w:val="TableText"/>
    <w:qFormat/>
    <w:rsid w:val="00D465CB"/>
    <w:pPr>
      <w:spacing w:before="20" w:after="20"/>
    </w:pPr>
    <w:rPr>
      <w:b/>
      <w:sz w:val="18"/>
    </w:rPr>
  </w:style>
  <w:style w:type="character" w:styleId="UnresolvedMention">
    <w:name w:val="Unresolved Mention"/>
    <w:basedOn w:val="DefaultParagraphFont"/>
    <w:uiPriority w:val="99"/>
    <w:semiHidden/>
    <w:unhideWhenUsed/>
    <w:rsid w:val="00672FCE"/>
    <w:rPr>
      <w:color w:val="808080"/>
      <w:shd w:val="clear" w:color="auto" w:fill="E6E6E6"/>
    </w:rPr>
  </w:style>
  <w:style w:type="character" w:customStyle="1" w:styleId="CommentTextChar">
    <w:name w:val="Comment Text Char"/>
    <w:basedOn w:val="DefaultParagraphFont"/>
    <w:link w:val="CommentText"/>
    <w:uiPriority w:val="99"/>
    <w:rsid w:val="00061FF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349714615">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victorian-government-call-centre-code" TargetMode="External"/><Relationship Id="rId18" Type="http://schemas.openxmlformats.org/officeDocument/2006/relationships/hyperlink" Target="https://buyingfor.vic.gov.au/market-approach-policy" TargetMode="External"/><Relationship Id="rId26" Type="http://schemas.openxmlformats.org/officeDocument/2006/relationships/hyperlink" Target="mailto:IPpolicy@dtf.vic.gov.au" TargetMode="External"/><Relationship Id="rId3" Type="http://schemas.openxmlformats.org/officeDocument/2006/relationships/numbering" Target="numbering.xml"/><Relationship Id="rId21" Type="http://schemas.openxmlformats.org/officeDocument/2006/relationships/hyperlink" Target="https://localjobsfirst.vic.gov.au" TargetMode="External"/><Relationship Id="rId7" Type="http://schemas.openxmlformats.org/officeDocument/2006/relationships/footnotes" Target="footnotes.xml"/><Relationship Id="rId12" Type="http://schemas.openxmlformats.org/officeDocument/2006/relationships/hyperlink" Target="https://buyingfor.vic.gov.au/supplier-code-conduct" TargetMode="External"/><Relationship Id="rId17" Type="http://schemas.openxmlformats.org/officeDocument/2006/relationships/hyperlink" Target="https://buyingfor.vic.gov.au/goods-services-supply-policies" TargetMode="External"/><Relationship Id="rId25"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hyperlink" Target="https://www.tenders.vic.gov.au/tenders/tender/search/tender-search.do?action=advanced-tender-search-open-tender" TargetMode="External"/><Relationship Id="rId20" Type="http://schemas.openxmlformats.org/officeDocument/2006/relationships/hyperlink" Target="https://www.vic.gov.au/modernising-governments-approach-ic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caljobsfirst.vic.gov.au" TargetMode="Externa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yingfor.vic.gov.au/guide-government-procurement-under-international-agreements" TargetMode="External"/><Relationship Id="rId23" Type="http://schemas.openxmlformats.org/officeDocument/2006/relationships/hyperlink" Target="http://creativecommons.org/licenses/by/3.0/au/" TargetMode="External"/><Relationship Id="rId28" Type="http://schemas.openxmlformats.org/officeDocument/2006/relationships/footer" Target="footer1.xml"/><Relationship Id="rId10" Type="http://schemas.openxmlformats.org/officeDocument/2006/relationships/hyperlink" Target="https://buyingfor.vic.gov.au/goods-services-supply-policies" TargetMode="External"/><Relationship Id="rId19" Type="http://schemas.openxmlformats.org/officeDocument/2006/relationships/hyperlink" Target="https://buyingfor.vic.gov.au/supplier-code-conduc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future-procurement-opportunities" TargetMode="External"/><Relationship Id="rId14" Type="http://schemas.openxmlformats.org/officeDocument/2006/relationships/hyperlink" Target="https://buyingfor.vic.gov.au/guide-government-procurement-under-international-agreements" TargetMode="External"/><Relationship Id="rId22" Type="http://schemas.openxmlformats.org/officeDocument/2006/relationships/hyperlink" Target="https://www.vic.gov.au/victorian-government-call-centre-code"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BF16371-F018-4E38-8BCC-482D63DC3BC9}">
  <ds:schemaRefs>
    <ds:schemaRef ds:uri="http://schemas.openxmlformats.org/officeDocument/2006/bibliography"/>
  </ds:schemaRefs>
</ds:datastoreItem>
</file>

<file path=customXml/itemProps2.xml><?xml version="1.0" encoding="utf-8"?>
<ds:datastoreItem xmlns:ds="http://schemas.openxmlformats.org/officeDocument/2006/customXml" ds:itemID="{91D1072C-DCC7-44FB-BD99-25EE22449E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4</cp:revision>
  <cp:lastPrinted>2018-12-13T00:02:00Z</cp:lastPrinted>
  <dcterms:created xsi:type="dcterms:W3CDTF">2022-07-14T02:22:00Z</dcterms:created>
  <dcterms:modified xsi:type="dcterms:W3CDTF">2022-07-15T00:53:00Z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eda14670-e535-4e9c-bfce-8699b32899ac</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2022-07-15T00:53:59Z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df785861-7e9f-4797-b7bb-b96d027ffa9d</vt:lpwstr>
  </property>
  <property fmtid="{D5CDD505-2E9C-101B-9397-08002B2CF9AE}" pid="15" name="MSIP_Label_7158ebbd-6c5e-441f-bfc9-4eb8c11e3978_ContentBits">
    <vt:lpwstr>2</vt:lpwstr>
  </property>
</Properties>
</file>