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42780672"/>
    <w:p w14:paraId="70E6ED05" w14:textId="02699358" w:rsidR="00045296" w:rsidRPr="001414F7" w:rsidRDefault="004C7125" w:rsidP="002576CA">
      <w:pPr>
        <w:pStyle w:val="Title"/>
        <w:spacing w:before="120"/>
        <w:rPr>
          <w:sz w:val="26"/>
          <w:szCs w:val="26"/>
        </w:rPr>
      </w:pPr>
      <w:r w:rsidRPr="004F5997">
        <w:rPr>
          <w:noProof/>
          <w:sz w:val="24"/>
          <w:szCs w:val="24"/>
        </w:rPr>
        <mc:AlternateContent>
          <mc:Choice Requires="wpg">
            <w:drawing>
              <wp:anchor distT="0" distB="0" distL="114300" distR="114300" simplePos="0" relativeHeight="251659264" behindDoc="1" locked="0" layoutInCell="1" allowOverlap="1" wp14:anchorId="008A78CB" wp14:editId="5B48C17C">
                <wp:simplePos x="0" y="0"/>
                <wp:positionH relativeFrom="column">
                  <wp:posOffset>-594360</wp:posOffset>
                </wp:positionH>
                <wp:positionV relativeFrom="paragraph">
                  <wp:posOffset>-514350</wp:posOffset>
                </wp:positionV>
                <wp:extent cx="5200762" cy="2962179"/>
                <wp:effectExtent l="0" t="0" r="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00762" cy="2962179"/>
                          <a:chOff x="0" y="0"/>
                          <a:chExt cx="5200762" cy="2962179"/>
                        </a:xfrm>
                      </wpg:grpSpPr>
                      <wps:wsp>
                        <wps:cNvPr id="10" name="Shape 2"/>
                        <wps:cNvSpPr/>
                        <wps:spPr>
                          <a:xfrm>
                            <a:off x="0" y="10633"/>
                            <a:ext cx="5200762" cy="2951546"/>
                          </a:xfrm>
                          <a:custGeom>
                            <a:avLst/>
                            <a:gdLst>
                              <a:gd name="connsiteX0" fmla="*/ 3875056 w 3875055"/>
                              <a:gd name="connsiteY0" fmla="*/ 2201513 h 2201513"/>
                              <a:gd name="connsiteX1" fmla="*/ 2834449 w 3875055"/>
                              <a:gd name="connsiteY1" fmla="*/ 0 h 2201513"/>
                              <a:gd name="connsiteX2" fmla="*/ 0 w 3875055"/>
                              <a:gd name="connsiteY2" fmla="*/ 0 h 2201513"/>
                              <a:gd name="connsiteX3" fmla="*/ 0 w 3875055"/>
                              <a:gd name="connsiteY3" fmla="*/ 2201513 h 2201513"/>
                              <a:gd name="connsiteX4" fmla="*/ 3875056 w 3875055"/>
                              <a:gd name="connsiteY4" fmla="*/ 2201513 h 2201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75055" h="2201513">
                                <a:moveTo>
                                  <a:pt x="3875056" y="2201513"/>
                                </a:moveTo>
                                <a:lnTo>
                                  <a:pt x="2834449" y="0"/>
                                </a:lnTo>
                                <a:lnTo>
                                  <a:pt x="0" y="0"/>
                                </a:lnTo>
                                <a:lnTo>
                                  <a:pt x="0" y="2201513"/>
                                </a:lnTo>
                                <a:lnTo>
                                  <a:pt x="3875056" y="2201513"/>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1"/>
                        <wps:cNvSpPr/>
                        <wps:spPr>
                          <a:xfrm>
                            <a:off x="0" y="0"/>
                            <a:ext cx="4229846" cy="2697677"/>
                          </a:xfrm>
                          <a:custGeom>
                            <a:avLst/>
                            <a:gdLst>
                              <a:gd name="connsiteX0" fmla="*/ 3151632 w 3151632"/>
                              <a:gd name="connsiteY0" fmla="*/ 2012156 h 2012156"/>
                              <a:gd name="connsiteX1" fmla="*/ 3151632 w 3151632"/>
                              <a:gd name="connsiteY1" fmla="*/ 0 h 2012156"/>
                              <a:gd name="connsiteX2" fmla="*/ 0 w 3151632"/>
                              <a:gd name="connsiteY2" fmla="*/ 0 h 2012156"/>
                              <a:gd name="connsiteX3" fmla="*/ 0 w 3151632"/>
                              <a:gd name="connsiteY3" fmla="*/ 1112520 h 2012156"/>
                              <a:gd name="connsiteX4" fmla="*/ 425291 w 3151632"/>
                              <a:gd name="connsiteY4" fmla="*/ 2012156 h 2012156"/>
                              <a:gd name="connsiteX5" fmla="*/ 3151632 w 3151632"/>
                              <a:gd name="connsiteY5" fmla="*/ 2012156 h 2012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1632" h="2012156">
                                <a:moveTo>
                                  <a:pt x="3151632" y="2012156"/>
                                </a:moveTo>
                                <a:lnTo>
                                  <a:pt x="3151632" y="0"/>
                                </a:lnTo>
                                <a:lnTo>
                                  <a:pt x="0" y="0"/>
                                </a:lnTo>
                                <a:lnTo>
                                  <a:pt x="0" y="1112520"/>
                                </a:lnTo>
                                <a:lnTo>
                                  <a:pt x="425291" y="2012156"/>
                                </a:lnTo>
                                <a:lnTo>
                                  <a:pt x="3151632" y="2012156"/>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Line"/>
                        <wps:cNvCnPr/>
                        <wps:spPr>
                          <a:xfrm flipV="1">
                            <a:off x="2849526" y="1582036"/>
                            <a:ext cx="990765"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1CA94F" id="Page banner" o:spid="_x0000_s1026" alt="&quot;&quot;" style="position:absolute;margin-left:-46.8pt;margin-top:-40.5pt;width:409.5pt;height:233.25pt;z-index:-251657216" coordsize="52007,2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">
                <v:shape id="Shape 2" o:spid="_x0000_s1027" style="position:absolute;top:106;width:52007;height:29515;visibility:visible;mso-wrap-style:square;v-text-anchor:middle" coordsize="3875055,22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" path="m3875056,2201513l2834449,,,,,2201513r3875056,xe" fillcolor="#00bac7 [3204]" stroked="f">
                  <v:stroke joinstyle="miter"/>
                  <v:path arrowok="t" o:connecttype="custom" o:connectlocs="5200763,2951546;3804151,0;0,0;0,2951546;5200763,2951546" o:connectangles="0,0,0,0,0"/>
                </v:shape>
                <v:shape id="Shape 1" o:spid="_x0000_s1028" style="position:absolute;width:42298;height:26976;visibility:visible;mso-wrap-style:square;v-text-anchor:middle" coordsize="3151632,20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" path="m3151632,2012156l3151632,,,,,1112520r425291,899636l3151632,2012156xe" fillcolor="#232b39 [3213]" stroked="f">
                  <v:stroke joinstyle="miter"/>
                  <v:path arrowok="t" o:connecttype="custom" o:connectlocs="4229846,2697677;4229846,0;0,0;0,1491544;570789,2697677;4229846,2697677" o:connectangles="0,0,0,0,0,0"/>
                </v:shape>
                <v:line id="Line" o:spid="_x0000_s1029" style="position:absolute;flip:y;visibility:visible;mso-wrap-style:square" from="28495,15820" to="38402,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" strokecolor="#00bac7 [3204]" strokeweight="4.5pt"/>
              </v:group>
            </w:pict>
          </mc:Fallback>
        </mc:AlternateContent>
      </w:r>
      <w:r w:rsidR="004F5997" w:rsidRPr="001414F7">
        <w:rPr>
          <w:sz w:val="26"/>
          <w:szCs w:val="26"/>
        </w:rPr>
        <w:t>PROFESSIONAL ENGINEERING SERVICES IN PUBLIC CONSTRUCTION PROCUREMENT</w:t>
      </w:r>
    </w:p>
    <w:p w14:paraId="661FBE58" w14:textId="77777777" w:rsidR="00522F8A" w:rsidRPr="001414F7" w:rsidRDefault="005129A3" w:rsidP="00125514">
      <w:pPr>
        <w:pStyle w:val="Subtitle"/>
        <w:rPr>
          <w:sz w:val="26"/>
          <w:szCs w:val="26"/>
        </w:rPr>
      </w:pPr>
      <w:r w:rsidRPr="001414F7">
        <w:rPr>
          <w:sz w:val="26"/>
          <w:szCs w:val="26"/>
        </w:rPr>
        <w:t>Factsheet</w:t>
      </w:r>
    </w:p>
    <w:p w14:paraId="6AD6149A" w14:textId="1FEE316B" w:rsidR="00522F8A" w:rsidRPr="007B141C" w:rsidRDefault="00522F8A" w:rsidP="00632680">
      <w:pPr>
        <w:pStyle w:val="CM"/>
        <w:shd w:val="clear" w:color="auto" w:fill="232B39" w:themeFill="text1"/>
      </w:pPr>
      <w:r w:rsidRPr="007B141C">
        <w:t xml:space="preserve">CM </w:t>
      </w:r>
      <w:r w:rsidRPr="005129A3">
        <w:t>ref</w:t>
      </w:r>
      <w:r w:rsidRPr="007B141C">
        <w:t>:</w:t>
      </w:r>
      <w:r w:rsidR="00FE24E9" w:rsidRPr="007B141C">
        <w:t xml:space="preserve"> </w:t>
      </w:r>
      <w:r w:rsidR="005166E7">
        <w:t>D22/2199424</w:t>
      </w:r>
    </w:p>
    <w:p w14:paraId="31E14198" w14:textId="77777777" w:rsidR="00822DEC" w:rsidRDefault="00822DEC" w:rsidP="0096774E">
      <w:pPr>
        <w:pStyle w:val="Heading1"/>
        <w:sectPr w:rsidR="00822DEC" w:rsidSect="00126CC7">
          <w:headerReference w:type="even" r:id="rId9"/>
          <w:headerReference w:type="default" r:id="rId10"/>
          <w:footerReference w:type="even" r:id="rId11"/>
          <w:footerReference w:type="default" r:id="rId12"/>
          <w:headerReference w:type="first" r:id="rId13"/>
          <w:footerReference w:type="first" r:id="rId14"/>
          <w:pgSz w:w="11906" w:h="16838" w:code="9"/>
          <w:pgMar w:top="810" w:right="936" w:bottom="1728" w:left="936" w:header="450" w:footer="461" w:gutter="0"/>
          <w:cols w:space="708"/>
          <w:titlePg/>
          <w:docGrid w:linePitch="360"/>
        </w:sectPr>
      </w:pPr>
    </w:p>
    <w:bookmarkEnd w:id="0"/>
    <w:p w14:paraId="213FA6A6" w14:textId="1E11841E" w:rsidR="001414F7" w:rsidRDefault="001414F7" w:rsidP="00711769">
      <w:pPr>
        <w:pStyle w:val="Heading2"/>
        <w:spacing w:after="200"/>
        <w:jc w:val="both"/>
        <w:rPr>
          <w:rFonts w:eastAsia="Calibri"/>
          <w:lang w:eastAsia="en-US"/>
        </w:rPr>
      </w:pPr>
      <w:r>
        <w:rPr>
          <w:rFonts w:eastAsia="Calibri"/>
          <w:lang w:eastAsia="en-US"/>
        </w:rPr>
        <w:t>Information for department and delivery agencies when using professional engineering services in public construction procurement</w:t>
      </w:r>
    </w:p>
    <w:p w14:paraId="3625AC28" w14:textId="3D272192" w:rsidR="004F5997" w:rsidRPr="004F5997" w:rsidRDefault="004F5997" w:rsidP="00711769">
      <w:pPr>
        <w:pStyle w:val="Heading3"/>
        <w:rPr>
          <w:rFonts w:eastAsia="Calibri"/>
          <w:lang w:eastAsia="en-US"/>
        </w:rPr>
      </w:pPr>
      <w:r w:rsidRPr="004F5997">
        <w:rPr>
          <w:rFonts w:eastAsia="Calibri"/>
          <w:lang w:eastAsia="en-US"/>
        </w:rPr>
        <w:t xml:space="preserve">Mandatory registration for </w:t>
      </w:r>
      <w:r w:rsidR="00147B81">
        <w:rPr>
          <w:rFonts w:eastAsia="Calibri"/>
          <w:lang w:eastAsia="en-US"/>
        </w:rPr>
        <w:t>e</w:t>
      </w:r>
      <w:r w:rsidRPr="004F5997">
        <w:rPr>
          <w:rFonts w:eastAsia="Calibri"/>
          <w:lang w:eastAsia="en-US"/>
        </w:rPr>
        <w:t>ngineers in Victoria</w:t>
      </w:r>
    </w:p>
    <w:p w14:paraId="5E4A5472" w14:textId="77777777" w:rsidR="004F5997" w:rsidRPr="004F5997" w:rsidRDefault="004F5997" w:rsidP="00711769">
      <w:pPr>
        <w:keepLines w:val="0"/>
        <w:spacing w:before="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 xml:space="preserve">The </w:t>
      </w:r>
      <w:hyperlink r:id="rId15" w:history="1">
        <w:r w:rsidRPr="004F5997">
          <w:rPr>
            <w:rFonts w:ascii="VIC" w:eastAsia="Calibri" w:hAnsi="VIC" w:cs="Times New Roman"/>
            <w:i/>
            <w:iCs/>
            <w:color w:val="0000FF"/>
            <w:szCs w:val="18"/>
            <w:u w:val="single"/>
            <w:lang w:eastAsia="en-US"/>
          </w:rPr>
          <w:t>Professional Engineers Registration Act 2019 (Vic</w:t>
        </w:r>
      </w:hyperlink>
      <w:r w:rsidRPr="004F5997">
        <w:rPr>
          <w:rFonts w:ascii="VIC" w:eastAsia="Calibri" w:hAnsi="VIC" w:cs="Times New Roman"/>
          <w:i/>
          <w:iCs/>
          <w:color w:val="0000FF"/>
          <w:szCs w:val="18"/>
          <w:u w:val="single"/>
          <w:lang w:eastAsia="en-US"/>
        </w:rPr>
        <w:t>)</w:t>
      </w:r>
      <w:r w:rsidRPr="004F5997">
        <w:rPr>
          <w:rFonts w:ascii="VIC" w:eastAsia="Calibri" w:hAnsi="VIC" w:cs="Times New Roman"/>
          <w:color w:val="auto"/>
          <w:szCs w:val="18"/>
          <w:lang w:eastAsia="en-US"/>
        </w:rPr>
        <w:t xml:space="preserve"> (PER Act) came into effect in Victoria on 1 July 2021.</w:t>
      </w:r>
    </w:p>
    <w:p w14:paraId="6496720D" w14:textId="77777777" w:rsidR="004F5997" w:rsidRPr="004F5997" w:rsidRDefault="004F5997" w:rsidP="00711769">
      <w:pPr>
        <w:pStyle w:val="Heading3"/>
        <w:rPr>
          <w:rFonts w:eastAsia="Calibri"/>
          <w:lang w:eastAsia="en-US"/>
        </w:rPr>
      </w:pPr>
      <w:r w:rsidRPr="004F5997">
        <w:rPr>
          <w:rFonts w:eastAsia="Calibri"/>
          <w:lang w:eastAsia="en-US"/>
        </w:rPr>
        <w:t>What is the purpose of the PER Act?</w:t>
      </w:r>
    </w:p>
    <w:p w14:paraId="7AA2585A" w14:textId="77777777" w:rsidR="004F5997" w:rsidRPr="004F5997" w:rsidRDefault="004F5997" w:rsidP="00711769">
      <w:pPr>
        <w:keepLines w:val="0"/>
        <w:spacing w:before="0" w:line="276" w:lineRule="auto"/>
        <w:contextualSpacing/>
        <w:rPr>
          <w:rFonts w:eastAsia="Calibri" w:cs="Times New Roman"/>
          <w:color w:val="auto"/>
          <w:szCs w:val="18"/>
          <w:lang w:eastAsia="en-US"/>
        </w:rPr>
      </w:pPr>
      <w:r w:rsidRPr="004F5997">
        <w:rPr>
          <w:rFonts w:eastAsia="Calibri" w:cs="Times New Roman"/>
          <w:color w:val="auto"/>
          <w:szCs w:val="18"/>
          <w:lang w:eastAsia="en-US"/>
        </w:rPr>
        <w:t>The purpose of the PER Act is to:</w:t>
      </w:r>
    </w:p>
    <w:p w14:paraId="412469A9" w14:textId="77777777" w:rsidR="004F5997" w:rsidRPr="004F5997" w:rsidRDefault="004F5997" w:rsidP="006E4939">
      <w:pPr>
        <w:pStyle w:val="Bullet1"/>
        <w:tabs>
          <w:tab w:val="num" w:pos="360"/>
        </w:tabs>
        <w:spacing w:after="120"/>
        <w:ind w:left="360" w:hanging="360"/>
      </w:pPr>
      <w:r w:rsidRPr="004F5997">
        <w:t>•</w:t>
      </w:r>
      <w:r w:rsidRPr="004F5997">
        <w:tab/>
        <w:t>establish a scheme for the registration of professional engineers;</w:t>
      </w:r>
    </w:p>
    <w:p w14:paraId="2CF640B4" w14:textId="77777777" w:rsidR="004F5997" w:rsidRPr="004F5997" w:rsidRDefault="004F5997" w:rsidP="006E4939">
      <w:pPr>
        <w:pStyle w:val="Bullet1"/>
        <w:tabs>
          <w:tab w:val="num" w:pos="360"/>
        </w:tabs>
        <w:spacing w:after="120"/>
        <w:ind w:left="360" w:hanging="360"/>
      </w:pPr>
      <w:r w:rsidRPr="004F5997">
        <w:t>•</w:t>
      </w:r>
      <w:r w:rsidRPr="004F5997">
        <w:tab/>
        <w:t xml:space="preserve">promote best practice in providing professional engineering services; </w:t>
      </w:r>
    </w:p>
    <w:p w14:paraId="7E1CF7BA" w14:textId="77777777" w:rsidR="004F5997" w:rsidRPr="004F5997" w:rsidRDefault="004F5997" w:rsidP="006E4939">
      <w:pPr>
        <w:pStyle w:val="Bullet1"/>
        <w:tabs>
          <w:tab w:val="num" w:pos="360"/>
        </w:tabs>
        <w:spacing w:after="120"/>
        <w:ind w:left="360" w:hanging="360"/>
      </w:pPr>
      <w:r w:rsidRPr="004F5997">
        <w:t>•</w:t>
      </w:r>
      <w:r w:rsidRPr="004F5997">
        <w:tab/>
        <w:t>ensure professional engineering services are provided only by suitably qualified and experienced engineers;</w:t>
      </w:r>
    </w:p>
    <w:p w14:paraId="38589F92" w14:textId="77777777" w:rsidR="004F5997" w:rsidRPr="004F5997" w:rsidRDefault="004F5997" w:rsidP="006E4939">
      <w:pPr>
        <w:pStyle w:val="Bullet1"/>
        <w:tabs>
          <w:tab w:val="num" w:pos="360"/>
        </w:tabs>
        <w:spacing w:after="120"/>
        <w:ind w:left="360" w:hanging="360"/>
      </w:pPr>
      <w:r w:rsidRPr="004F5997">
        <w:t>•</w:t>
      </w:r>
      <w:r w:rsidRPr="004F5997">
        <w:tab/>
        <w:t xml:space="preserve">provide adequate consumer protection; and </w:t>
      </w:r>
    </w:p>
    <w:p w14:paraId="3AEE6766" w14:textId="64684AB8" w:rsidR="004F5997" w:rsidRDefault="004F5997" w:rsidP="00147B81">
      <w:pPr>
        <w:pStyle w:val="Bullet1"/>
        <w:tabs>
          <w:tab w:val="num" w:pos="360"/>
        </w:tabs>
        <w:spacing w:after="120"/>
        <w:ind w:left="360" w:hanging="360"/>
      </w:pPr>
      <w:r w:rsidRPr="004F5997">
        <w:t>•</w:t>
      </w:r>
      <w:r w:rsidRPr="004F5997">
        <w:tab/>
        <w:t xml:space="preserve">make consequential amendments to other Acts, like the </w:t>
      </w:r>
      <w:hyperlink r:id="rId16" w:history="1">
        <w:r w:rsidRPr="004F5997">
          <w:t>Building Act 1993 (Vic)</w:t>
        </w:r>
      </w:hyperlink>
      <w:r w:rsidRPr="004F5997">
        <w:t xml:space="preserve"> (BA Act). </w:t>
      </w:r>
    </w:p>
    <w:p w14:paraId="435F6856" w14:textId="2DA99EE9" w:rsidR="004F5997" w:rsidRDefault="004F5997" w:rsidP="00147B81">
      <w:pPr>
        <w:keepLines w:val="0"/>
        <w:spacing w:before="0" w:line="276" w:lineRule="auto"/>
        <w:contextualSpacing/>
        <w:jc w:val="both"/>
        <w:rPr>
          <w:rFonts w:eastAsia="Calibri" w:cs="Times New Roman"/>
          <w:color w:val="auto"/>
          <w:szCs w:val="18"/>
          <w:lang w:eastAsia="en-US"/>
        </w:rPr>
      </w:pPr>
      <w:r w:rsidRPr="004F5997">
        <w:rPr>
          <w:rFonts w:eastAsia="Calibri" w:cs="Times New Roman"/>
          <w:color w:val="auto"/>
          <w:szCs w:val="18"/>
          <w:lang w:eastAsia="en-US"/>
        </w:rPr>
        <w:t>The PER Act establishes a professional engineers registration scheme.</w:t>
      </w:r>
      <w:r w:rsidR="006E4939">
        <w:rPr>
          <w:rFonts w:eastAsia="Calibri" w:cs="Times New Roman"/>
          <w:color w:val="auto"/>
          <w:szCs w:val="18"/>
          <w:lang w:eastAsia="en-US"/>
        </w:rPr>
        <w:t xml:space="preserve"> </w:t>
      </w:r>
      <w:r w:rsidRPr="004F5997">
        <w:rPr>
          <w:rFonts w:eastAsia="Calibri" w:cs="Times New Roman"/>
          <w:color w:val="auto"/>
          <w:szCs w:val="18"/>
          <w:lang w:eastAsia="en-US"/>
        </w:rPr>
        <w:t xml:space="preserve">The scheme requires engineers to be registered to provide professional engineering services, in Victoria and outside Victoria, if the services are intended for Victoria. </w:t>
      </w:r>
    </w:p>
    <w:p w14:paraId="3E327C2A" w14:textId="77777777" w:rsidR="004F5997" w:rsidRPr="004F5997" w:rsidRDefault="004F5997" w:rsidP="00147B81">
      <w:pPr>
        <w:pStyle w:val="Heading3"/>
        <w:rPr>
          <w:rFonts w:eastAsia="Calibri"/>
          <w:lang w:eastAsia="en-US"/>
        </w:rPr>
      </w:pPr>
      <w:r w:rsidRPr="004F5997">
        <w:rPr>
          <w:rFonts w:eastAsia="Calibri"/>
          <w:lang w:eastAsia="en-US"/>
        </w:rPr>
        <w:t>Who administers the PER Act?</w:t>
      </w:r>
    </w:p>
    <w:p w14:paraId="31D237B1" w14:textId="77777777" w:rsidR="004F5997" w:rsidRPr="004F5997" w:rsidRDefault="004F5997" w:rsidP="001414F7">
      <w:pPr>
        <w:keepLines w:val="0"/>
        <w:spacing w:before="0" w:line="276" w:lineRule="auto"/>
        <w:jc w:val="both"/>
        <w:rPr>
          <w:rFonts w:eastAsia="Calibri" w:cs="Times New Roman"/>
          <w:color w:val="auto"/>
          <w:szCs w:val="18"/>
          <w:lang w:eastAsia="en-US"/>
        </w:rPr>
      </w:pPr>
      <w:r w:rsidRPr="004F5997">
        <w:rPr>
          <w:rFonts w:eastAsia="Calibri" w:cs="Times New Roman"/>
          <w:color w:val="auto"/>
          <w:szCs w:val="18"/>
          <w:lang w:eastAsia="en-US"/>
        </w:rPr>
        <w:t>The professional engineering registration scheme is administered by the Business Licensing Authority (BLA), supported by Consumers Affairs Victoria (CAV) and the Victorian Building Authority (VBA).</w:t>
      </w:r>
    </w:p>
    <w:p w14:paraId="68AF525F" w14:textId="77777777" w:rsidR="004F5997" w:rsidRPr="004F5997" w:rsidRDefault="004F5997" w:rsidP="001414F7">
      <w:pPr>
        <w:pStyle w:val="Heading3"/>
        <w:rPr>
          <w:rFonts w:eastAsia="Calibri"/>
          <w:lang w:eastAsia="en-US"/>
        </w:rPr>
      </w:pPr>
      <w:r w:rsidRPr="004F5997">
        <w:rPr>
          <w:rFonts w:eastAsia="Calibri"/>
          <w:lang w:eastAsia="en-US"/>
        </w:rPr>
        <w:t>What are the areas of engineering covered by the PER Act?</w:t>
      </w:r>
    </w:p>
    <w:p w14:paraId="28F7F4E2" w14:textId="77777777" w:rsidR="004F5997" w:rsidRPr="004F5997" w:rsidRDefault="004F5997" w:rsidP="001414F7">
      <w:pPr>
        <w:keepLines w:val="0"/>
        <w:spacing w:before="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The PER Act identifies five areas of engineering where registration is mandatory.</w:t>
      </w:r>
    </w:p>
    <w:p w14:paraId="4B7A4AEE" w14:textId="77777777" w:rsidR="004F5997" w:rsidRPr="004F5997" w:rsidRDefault="004F5997" w:rsidP="001414F7">
      <w:pPr>
        <w:keepLines w:val="0"/>
        <w:spacing w:before="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Of the mandatory areas of engineering registration, three areas of engineering have come into effect, with another two to be phased-in during 2023.</w:t>
      </w:r>
    </w:p>
    <w:p w14:paraId="7426C4EA" w14:textId="32008F3C" w:rsidR="004F5997" w:rsidRPr="004F5997" w:rsidRDefault="004F5997" w:rsidP="001414F7">
      <w:pPr>
        <w:keepLines w:val="0"/>
        <w:spacing w:before="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The mandatory areas that have come into operation are:</w:t>
      </w:r>
    </w:p>
    <w:p w14:paraId="0E5D3148" w14:textId="77777777" w:rsidR="004F5997" w:rsidRPr="004F5997" w:rsidRDefault="004F5997" w:rsidP="001414F7">
      <w:pPr>
        <w:keepLines w:val="0"/>
        <w:spacing w:before="0" w:after="0" w:line="276" w:lineRule="auto"/>
        <w:rPr>
          <w:rFonts w:ascii="VIC" w:eastAsia="Calibri" w:hAnsi="VIC" w:cs="Times New Roman"/>
          <w:color w:val="auto"/>
          <w:szCs w:val="18"/>
          <w:lang w:eastAsia="en-US"/>
        </w:rPr>
      </w:pPr>
      <w:r w:rsidRPr="004F5997">
        <w:rPr>
          <w:rFonts w:ascii="VIC" w:eastAsia="Calibri" w:hAnsi="VIC" w:cs="Times New Roman"/>
          <w:color w:val="auto"/>
          <w:szCs w:val="18"/>
          <w:lang w:eastAsia="en-US"/>
        </w:rPr>
        <w:t>•</w:t>
      </w:r>
      <w:r w:rsidRPr="004F5997">
        <w:rPr>
          <w:rFonts w:ascii="VIC" w:eastAsia="Calibri" w:hAnsi="VIC" w:cs="Times New Roman"/>
          <w:color w:val="auto"/>
          <w:szCs w:val="18"/>
          <w:lang w:eastAsia="en-US"/>
        </w:rPr>
        <w:tab/>
        <w:t>Fire safety engineering;</w:t>
      </w:r>
    </w:p>
    <w:p w14:paraId="28385CC4" w14:textId="77777777" w:rsidR="004F5997" w:rsidRPr="004F5997" w:rsidRDefault="004F5997" w:rsidP="001414F7">
      <w:pPr>
        <w:keepLines w:val="0"/>
        <w:spacing w:before="0" w:after="0" w:line="276" w:lineRule="auto"/>
        <w:rPr>
          <w:rFonts w:ascii="VIC" w:eastAsia="Calibri" w:hAnsi="VIC" w:cs="Times New Roman"/>
          <w:color w:val="auto"/>
          <w:szCs w:val="18"/>
          <w:lang w:eastAsia="en-US"/>
        </w:rPr>
      </w:pPr>
      <w:r w:rsidRPr="004F5997">
        <w:rPr>
          <w:rFonts w:ascii="VIC" w:eastAsia="Calibri" w:hAnsi="VIC" w:cs="Times New Roman"/>
          <w:color w:val="auto"/>
          <w:szCs w:val="18"/>
          <w:lang w:eastAsia="en-US"/>
        </w:rPr>
        <w:t>•</w:t>
      </w:r>
      <w:r w:rsidRPr="004F5997">
        <w:rPr>
          <w:rFonts w:ascii="VIC" w:eastAsia="Calibri" w:hAnsi="VIC" w:cs="Times New Roman"/>
          <w:color w:val="auto"/>
          <w:szCs w:val="18"/>
          <w:lang w:eastAsia="en-US"/>
        </w:rPr>
        <w:tab/>
        <w:t>Civil engineering; and</w:t>
      </w:r>
    </w:p>
    <w:p w14:paraId="154B9B3B" w14:textId="77777777" w:rsidR="004F5997" w:rsidRPr="004F5997" w:rsidRDefault="004F5997" w:rsidP="001414F7">
      <w:pPr>
        <w:keepLines w:val="0"/>
        <w:spacing w:before="0" w:line="276" w:lineRule="auto"/>
        <w:rPr>
          <w:rFonts w:ascii="VIC" w:eastAsia="Calibri" w:hAnsi="VIC" w:cs="Times New Roman"/>
          <w:color w:val="auto"/>
          <w:szCs w:val="18"/>
          <w:lang w:eastAsia="en-US"/>
        </w:rPr>
      </w:pPr>
      <w:r w:rsidRPr="004F5997">
        <w:rPr>
          <w:rFonts w:ascii="VIC" w:eastAsia="Calibri" w:hAnsi="VIC" w:cs="Times New Roman"/>
          <w:color w:val="auto"/>
          <w:szCs w:val="18"/>
          <w:lang w:eastAsia="en-US"/>
        </w:rPr>
        <w:t>•</w:t>
      </w:r>
      <w:r w:rsidRPr="004F5997">
        <w:rPr>
          <w:rFonts w:ascii="VIC" w:eastAsia="Calibri" w:hAnsi="VIC" w:cs="Times New Roman"/>
          <w:color w:val="auto"/>
          <w:szCs w:val="18"/>
          <w:lang w:eastAsia="en-US"/>
        </w:rPr>
        <w:tab/>
        <w:t>Structural engineering.</w:t>
      </w:r>
    </w:p>
    <w:p w14:paraId="108ED99D" w14:textId="77777777" w:rsidR="004F5997" w:rsidRPr="004F5997" w:rsidRDefault="004F5997" w:rsidP="001414F7">
      <w:pPr>
        <w:keepLines w:val="0"/>
        <w:spacing w:before="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Two mandatory areas that have yet to commence into operation are:</w:t>
      </w:r>
    </w:p>
    <w:p w14:paraId="50693B17" w14:textId="45BF1770" w:rsidR="006E4939" w:rsidRPr="004F5997" w:rsidRDefault="006E4939" w:rsidP="006E4939">
      <w:pPr>
        <w:pStyle w:val="Bullet1"/>
        <w:tabs>
          <w:tab w:val="num" w:pos="360"/>
        </w:tabs>
        <w:spacing w:after="0"/>
        <w:ind w:left="360" w:hanging="360"/>
        <w:rPr>
          <w:b/>
          <w:bCs/>
        </w:rPr>
      </w:pPr>
      <w:r w:rsidRPr="004F5997">
        <w:rPr>
          <w:rFonts w:ascii="VIC" w:eastAsia="Calibri" w:hAnsi="VIC" w:cs="Times New Roman"/>
          <w:color w:val="auto"/>
          <w:szCs w:val="18"/>
          <w:lang w:eastAsia="en-US"/>
        </w:rPr>
        <w:t>•</w:t>
      </w:r>
      <w:r w:rsidRPr="004F5997">
        <w:rPr>
          <w:rFonts w:ascii="VIC" w:eastAsia="Calibri" w:hAnsi="VIC" w:cs="Times New Roman"/>
          <w:color w:val="auto"/>
          <w:szCs w:val="18"/>
          <w:lang w:eastAsia="en-US"/>
        </w:rPr>
        <w:tab/>
      </w:r>
      <w:r w:rsidRPr="004F5997">
        <w:t xml:space="preserve">Electrical engineering – </w:t>
      </w:r>
      <w:r w:rsidRPr="004F5997">
        <w:rPr>
          <w:b/>
          <w:bCs/>
        </w:rPr>
        <w:t>mandatory registration required from 1 June 2023</w:t>
      </w:r>
    </w:p>
    <w:p w14:paraId="359C0241" w14:textId="3245B92E" w:rsidR="004F5997" w:rsidRPr="006E4939" w:rsidRDefault="004F5997" w:rsidP="00147B81">
      <w:pPr>
        <w:pStyle w:val="ListParagraph"/>
        <w:keepLines w:val="0"/>
        <w:numPr>
          <w:ilvl w:val="0"/>
          <w:numId w:val="6"/>
        </w:numPr>
        <w:spacing w:before="0" w:line="276" w:lineRule="auto"/>
        <w:rPr>
          <w:rFonts w:ascii="VIC" w:eastAsia="Calibri" w:hAnsi="VIC" w:cs="Times New Roman"/>
          <w:b/>
          <w:bCs/>
          <w:color w:val="auto"/>
          <w:szCs w:val="18"/>
          <w:lang w:eastAsia="en-US"/>
        </w:rPr>
      </w:pPr>
      <w:r w:rsidRPr="006E4939">
        <w:rPr>
          <w:rFonts w:eastAsia="Times New Roman" w:cs="Calibri"/>
        </w:rPr>
        <w:t xml:space="preserve">Mechanical engineering – </w:t>
      </w:r>
      <w:r w:rsidRPr="006E4939">
        <w:rPr>
          <w:rFonts w:eastAsia="Times New Roman" w:cs="Calibri"/>
          <w:b/>
          <w:bCs/>
        </w:rPr>
        <w:t>mandatory registration required from 1 December 2023.</w:t>
      </w:r>
    </w:p>
    <w:p w14:paraId="3D0F4457" w14:textId="03A9E0E8" w:rsidR="004F5997" w:rsidRPr="004F5997" w:rsidRDefault="004F5997" w:rsidP="00147B81">
      <w:pPr>
        <w:pStyle w:val="Heading3"/>
        <w:rPr>
          <w:rFonts w:eastAsia="Calibri"/>
          <w:lang w:eastAsia="en-US"/>
        </w:rPr>
      </w:pPr>
      <w:r w:rsidRPr="004F5997">
        <w:rPr>
          <w:rFonts w:eastAsia="Calibri"/>
          <w:lang w:eastAsia="en-US"/>
        </w:rPr>
        <w:lastRenderedPageBreak/>
        <w:t>Can an engineer who is not registered provide professional engineering services?</w:t>
      </w:r>
    </w:p>
    <w:p w14:paraId="0DBD9773" w14:textId="77777777" w:rsidR="004F5997" w:rsidRPr="004F5997" w:rsidRDefault="004F5997" w:rsidP="00147B81">
      <w:pPr>
        <w:keepLines w:val="0"/>
        <w:spacing w:before="0" w:line="276" w:lineRule="auto"/>
        <w:jc w:val="both"/>
        <w:rPr>
          <w:rFonts w:ascii="VIC" w:eastAsia="Calibri" w:hAnsi="VIC" w:cs="Times New Roman"/>
          <w:color w:val="auto"/>
          <w:szCs w:val="18"/>
          <w:lang w:eastAsia="en-US"/>
        </w:rPr>
      </w:pPr>
      <w:r w:rsidRPr="004F5997">
        <w:rPr>
          <w:rFonts w:eastAsia="Calibri" w:cs="Times New Roman"/>
          <w:color w:val="auto"/>
          <w:szCs w:val="18"/>
          <w:lang w:eastAsia="en-US"/>
        </w:rPr>
        <w:t>Engineers who are providing professional engineering services must be registered unless they work either under the direct supervision of a registered (and endorsed)</w:t>
      </w:r>
      <w:r w:rsidRPr="004F5997">
        <w:rPr>
          <w:rFonts w:ascii="VIC" w:eastAsia="Calibri" w:hAnsi="VIC" w:cs="Times New Roman"/>
          <w:color w:val="auto"/>
          <w:szCs w:val="18"/>
          <w:lang w:eastAsia="en-US"/>
        </w:rPr>
        <w:t xml:space="preserve"> professional engineer or work only in accordance with a prescriptive standard.</w:t>
      </w:r>
    </w:p>
    <w:p w14:paraId="3D67C216" w14:textId="77777777" w:rsidR="004F5997" w:rsidRPr="004F5997" w:rsidRDefault="004F5997" w:rsidP="00147B81">
      <w:pPr>
        <w:pStyle w:val="Heading3"/>
        <w:rPr>
          <w:rFonts w:eastAsia="Calibri"/>
          <w:lang w:eastAsia="en-US"/>
        </w:rPr>
      </w:pPr>
      <w:r w:rsidRPr="004F5997">
        <w:rPr>
          <w:rFonts w:eastAsia="Calibri"/>
          <w:lang w:eastAsia="en-US"/>
        </w:rPr>
        <w:t>What is the difference between registered and endorsed engineer?</w:t>
      </w:r>
    </w:p>
    <w:p w14:paraId="508D9F62" w14:textId="77777777" w:rsidR="004F5997" w:rsidRPr="004F5997" w:rsidRDefault="004F5997" w:rsidP="00147B81">
      <w:pPr>
        <w:keepLines w:val="0"/>
        <w:spacing w:before="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 xml:space="preserve">The PER Act provides for both registration and endorsement of professional engineers. </w:t>
      </w:r>
    </w:p>
    <w:p w14:paraId="642840D3" w14:textId="77777777" w:rsidR="004F5997" w:rsidRPr="004F5997" w:rsidRDefault="004F5997" w:rsidP="004F5997">
      <w:pPr>
        <w:keepLines w:val="0"/>
        <w:spacing w:before="0" w:after="20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Registration is the process by which individuals become registered professional engineers under the PER Act. Endorsement is a separate process and authorises a registered professional engineer to engage in the building industry.</w:t>
      </w:r>
    </w:p>
    <w:p w14:paraId="774BD0C4" w14:textId="77777777" w:rsidR="004F5997" w:rsidRPr="004F5997" w:rsidRDefault="004F5997" w:rsidP="004F5997">
      <w:pPr>
        <w:keepLines w:val="0"/>
        <w:spacing w:before="0" w:after="20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 xml:space="preserve">Therefore, to provide professional engineering services in the building industry a professional engineer must be both </w:t>
      </w:r>
      <w:r w:rsidRPr="004F5997">
        <w:rPr>
          <w:rFonts w:ascii="VIC" w:eastAsia="Calibri" w:hAnsi="VIC" w:cs="Times New Roman"/>
          <w:color w:val="auto"/>
          <w:szCs w:val="18"/>
          <w:u w:val="single"/>
          <w:lang w:eastAsia="en-US"/>
        </w:rPr>
        <w:t>registered</w:t>
      </w:r>
      <w:r w:rsidRPr="004F5997">
        <w:rPr>
          <w:rFonts w:ascii="VIC" w:eastAsia="Calibri" w:hAnsi="VIC" w:cs="Times New Roman"/>
          <w:color w:val="auto"/>
          <w:szCs w:val="18"/>
          <w:lang w:eastAsia="en-US"/>
        </w:rPr>
        <w:t xml:space="preserve"> and </w:t>
      </w:r>
      <w:r w:rsidRPr="004F5997">
        <w:rPr>
          <w:rFonts w:ascii="VIC" w:eastAsia="Calibri" w:hAnsi="VIC" w:cs="Times New Roman"/>
          <w:color w:val="auto"/>
          <w:szCs w:val="18"/>
          <w:u w:val="single"/>
          <w:lang w:eastAsia="en-US"/>
        </w:rPr>
        <w:t>endorsed</w:t>
      </w:r>
      <w:r w:rsidRPr="004F5997">
        <w:rPr>
          <w:rFonts w:ascii="VIC" w:eastAsia="Calibri" w:hAnsi="VIC" w:cs="Times New Roman"/>
          <w:color w:val="auto"/>
          <w:szCs w:val="18"/>
          <w:lang w:eastAsia="en-US"/>
        </w:rPr>
        <w:t xml:space="preserve"> in the relevant area of engineering outlined above.  A professional engineer who is registered but not endorsed cannot provide professional engineering services in the building industry.</w:t>
      </w:r>
    </w:p>
    <w:p w14:paraId="3294E18B" w14:textId="77777777" w:rsidR="004F5997" w:rsidRPr="004F5997" w:rsidRDefault="004F5997" w:rsidP="00147B81">
      <w:pPr>
        <w:pStyle w:val="Heading3"/>
        <w:rPr>
          <w:rFonts w:eastAsia="Calibri"/>
          <w:lang w:eastAsia="en-US"/>
        </w:rPr>
      </w:pPr>
      <w:r w:rsidRPr="004F5997">
        <w:rPr>
          <w:rFonts w:eastAsia="Calibri"/>
          <w:lang w:eastAsia="en-US"/>
        </w:rPr>
        <w:t>When did registration and endorsement commence for the building industry?</w:t>
      </w:r>
    </w:p>
    <w:p w14:paraId="149D7288" w14:textId="77777777" w:rsidR="004F5997" w:rsidRPr="004F5997" w:rsidRDefault="004F5997" w:rsidP="00147B81">
      <w:pPr>
        <w:keepLines w:val="0"/>
        <w:spacing w:before="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 xml:space="preserve">From 1 July 2021, it is mandatory under the PER Act for a professional engineer to be registered and endorsed before providing professional engineering services in the building industry in Victoria. </w:t>
      </w:r>
    </w:p>
    <w:p w14:paraId="773F877F" w14:textId="77777777" w:rsidR="004F5997" w:rsidRPr="004F5997" w:rsidRDefault="004F5997" w:rsidP="00147B81">
      <w:pPr>
        <w:keepLines w:val="0"/>
        <w:spacing w:before="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Prior to the commencement of the PER Act, the BA Act</w:t>
      </w:r>
      <w:r w:rsidRPr="004F5997">
        <w:rPr>
          <w:rFonts w:ascii="VIC" w:eastAsia="Calibri" w:hAnsi="VIC" w:cs="Times New Roman"/>
          <w:i/>
          <w:iCs/>
          <w:color w:val="auto"/>
          <w:szCs w:val="18"/>
          <w:lang w:eastAsia="en-US"/>
        </w:rPr>
        <w:t xml:space="preserve"> </w:t>
      </w:r>
      <w:r w:rsidRPr="004F5997">
        <w:rPr>
          <w:rFonts w:ascii="VIC" w:eastAsia="Calibri" w:hAnsi="VIC" w:cs="Times New Roman"/>
          <w:color w:val="auto"/>
          <w:szCs w:val="18"/>
          <w:lang w:eastAsia="en-US"/>
        </w:rPr>
        <w:t>required engineers to register as a building practitioner in the category of engineer.</w:t>
      </w:r>
    </w:p>
    <w:p w14:paraId="5B3E06E6" w14:textId="77777777" w:rsidR="004F5997" w:rsidRPr="004F5997" w:rsidRDefault="004F5997" w:rsidP="00147B81">
      <w:pPr>
        <w:keepLines w:val="0"/>
        <w:spacing w:before="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 xml:space="preserve">The registration and endorsement of engineers to work in the building industry under the PER Act replaces the BA Act requirement. </w:t>
      </w:r>
    </w:p>
    <w:p w14:paraId="759B97D1" w14:textId="77777777" w:rsidR="004F5997" w:rsidRPr="004F5997" w:rsidRDefault="004F5997" w:rsidP="00147B81">
      <w:pPr>
        <w:keepLines w:val="0"/>
        <w:spacing w:before="0" w:line="276" w:lineRule="auto"/>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 xml:space="preserve">It is important to note that under the PER Act, registration and endorsement as a professional engineer is limited to a natural person. Body corporates such as companies cannot be registered. </w:t>
      </w:r>
    </w:p>
    <w:p w14:paraId="6D1C2D33" w14:textId="77777777" w:rsidR="004F5997" w:rsidRPr="004F5997" w:rsidRDefault="004F5997" w:rsidP="00147B81">
      <w:pPr>
        <w:keepLines w:val="0"/>
        <w:spacing w:before="0" w:line="276" w:lineRule="auto"/>
        <w:jc w:val="both"/>
        <w:rPr>
          <w:rFonts w:ascii="VIC" w:eastAsia="Calibri" w:hAnsi="VIC" w:cs="Times New Roman"/>
          <w:color w:val="auto"/>
          <w:szCs w:val="18"/>
          <w:lang w:eastAsia="en-US"/>
        </w:rPr>
      </w:pPr>
      <w:r w:rsidRPr="004F5997">
        <w:rPr>
          <w:rFonts w:eastAsia="Calibri" w:cs="Times New Roman"/>
          <w:color w:val="auto"/>
          <w:szCs w:val="18"/>
          <w:lang w:eastAsia="en-US"/>
        </w:rPr>
        <w:t xml:space="preserve">Registered professional engineers (including those who are endorsed to work in the building industry) must comply with the </w:t>
      </w:r>
      <w:hyperlink r:id="rId17" w:anchor=":~:text=act%20with%20honesty%2C%20fairness%20and,seek%20peer%20review%20unless%20impractical" w:history="1">
        <w:r w:rsidRPr="004F5997">
          <w:rPr>
            <w:rFonts w:eastAsia="Calibri" w:cs="Times New Roman"/>
            <w:i/>
            <w:iCs/>
            <w:color w:val="0000FF"/>
            <w:szCs w:val="18"/>
            <w:u w:val="single"/>
            <w:lang w:eastAsia="en-US"/>
          </w:rPr>
          <w:t>Code of Conduct for Professional Engineers</w:t>
        </w:r>
      </w:hyperlink>
      <w:r w:rsidRPr="004F5997">
        <w:rPr>
          <w:rFonts w:ascii="VIC" w:eastAsia="Calibri" w:hAnsi="VIC" w:cs="Times New Roman"/>
          <w:color w:val="auto"/>
          <w:sz w:val="21"/>
          <w:szCs w:val="21"/>
          <w:lang w:eastAsia="en-US"/>
        </w:rPr>
        <w:t xml:space="preserve"> </w:t>
      </w:r>
      <w:r w:rsidRPr="004F5997">
        <w:rPr>
          <w:rFonts w:ascii="VIC" w:eastAsia="Calibri" w:hAnsi="VIC" w:cs="Times New Roman"/>
          <w:color w:val="auto"/>
          <w:szCs w:val="18"/>
          <w:lang w:eastAsia="en-US"/>
        </w:rPr>
        <w:t>(Code) made under the authority of the PER Act. Compliance with this Code is monitored by CAV and the VBA, who can take disciplinary action for any breaches of the Code.</w:t>
      </w:r>
    </w:p>
    <w:p w14:paraId="6CFEFC87" w14:textId="77777777" w:rsidR="004F5997" w:rsidRPr="004F5997" w:rsidRDefault="004F5997" w:rsidP="00147B81">
      <w:pPr>
        <w:pStyle w:val="Heading3"/>
        <w:rPr>
          <w:rFonts w:eastAsia="Calibri"/>
          <w:lang w:eastAsia="en-US"/>
        </w:rPr>
      </w:pPr>
      <w:r w:rsidRPr="004F5997">
        <w:rPr>
          <w:rFonts w:eastAsia="Calibri"/>
          <w:lang w:eastAsia="en-US"/>
        </w:rPr>
        <w:t>What is the impact of the PER Act on suppliers of professional engineering services pre-qualified on the Construction Supplier Register?</w:t>
      </w:r>
    </w:p>
    <w:p w14:paraId="0D2AC2C1" w14:textId="77777777" w:rsidR="004F5997" w:rsidRPr="004F5997" w:rsidRDefault="004F5997" w:rsidP="00147B81">
      <w:pPr>
        <w:keepLines w:val="0"/>
        <w:spacing w:before="0" w:line="276" w:lineRule="auto"/>
        <w:jc w:val="both"/>
        <w:rPr>
          <w:rFonts w:eastAsia="Calibri" w:cs="Times New Roman"/>
          <w:color w:val="auto"/>
          <w:szCs w:val="18"/>
          <w:lang w:eastAsia="en-US"/>
        </w:rPr>
      </w:pPr>
      <w:r w:rsidRPr="004F5997">
        <w:rPr>
          <w:rFonts w:eastAsia="Calibri" w:cs="Times New Roman"/>
          <w:color w:val="auto"/>
          <w:szCs w:val="18"/>
          <w:lang w:eastAsia="en-US"/>
        </w:rPr>
        <w:t xml:space="preserve">There are no new changes or requirements for supplier’s seeking to be, or are already pre-qualified on the </w:t>
      </w:r>
      <w:hyperlink r:id="rId18" w:history="1">
        <w:r w:rsidRPr="004F5997">
          <w:rPr>
            <w:rFonts w:eastAsia="Calibri" w:cs="Times New Roman"/>
            <w:color w:val="0000FF"/>
            <w:szCs w:val="18"/>
            <w:u w:val="single"/>
            <w:lang w:eastAsia="en-US"/>
          </w:rPr>
          <w:t>Construction Supplier Register</w:t>
        </w:r>
      </w:hyperlink>
      <w:r w:rsidRPr="004F5997">
        <w:rPr>
          <w:rFonts w:eastAsia="Calibri" w:cs="Times New Roman"/>
          <w:color w:val="auto"/>
          <w:szCs w:val="18"/>
          <w:lang w:eastAsia="en-US"/>
        </w:rPr>
        <w:t xml:space="preserve"> (CSR).</w:t>
      </w:r>
    </w:p>
    <w:p w14:paraId="3C7E1565" w14:textId="77777777" w:rsidR="004F5997" w:rsidRPr="004F5997" w:rsidRDefault="004F5997" w:rsidP="00147B81">
      <w:pPr>
        <w:keepLines w:val="0"/>
        <w:spacing w:before="0" w:line="276" w:lineRule="auto"/>
        <w:jc w:val="both"/>
        <w:rPr>
          <w:rFonts w:eastAsia="Calibri" w:cs="Times New Roman"/>
          <w:color w:val="auto"/>
          <w:szCs w:val="18"/>
          <w:lang w:eastAsia="en-US"/>
        </w:rPr>
      </w:pPr>
      <w:r w:rsidRPr="004F5997">
        <w:rPr>
          <w:rFonts w:eastAsia="Calibri" w:cs="Times New Roman"/>
          <w:color w:val="auto"/>
          <w:szCs w:val="18"/>
          <w:lang w:eastAsia="en-US"/>
        </w:rPr>
        <w:t xml:space="preserve">Since July 2021, consistent with the PER Act, the CSR requires professional engineering companies and partnerships to sign a Deed Poll as part of their application and ongoing pre-qualification processes for all CSR professional engineering-related categories. </w:t>
      </w:r>
    </w:p>
    <w:p w14:paraId="4C078EC5" w14:textId="77777777" w:rsidR="004F5997" w:rsidRPr="004F5997" w:rsidRDefault="004F5997" w:rsidP="00147B81">
      <w:pPr>
        <w:keepLines w:val="0"/>
        <w:spacing w:before="0" w:line="276" w:lineRule="auto"/>
        <w:jc w:val="both"/>
        <w:rPr>
          <w:rFonts w:eastAsia="Calibri" w:cs="Times New Roman"/>
          <w:color w:val="auto"/>
          <w:szCs w:val="18"/>
          <w:lang w:eastAsia="en-US"/>
        </w:rPr>
      </w:pPr>
      <w:r w:rsidRPr="004F5997">
        <w:rPr>
          <w:rFonts w:eastAsia="Calibri" w:cs="Times New Roman"/>
          <w:color w:val="auto"/>
          <w:szCs w:val="18"/>
          <w:lang w:eastAsia="en-US"/>
        </w:rPr>
        <w:t>The CSR’s Deed Poll:</w:t>
      </w:r>
    </w:p>
    <w:p w14:paraId="58FCF58E" w14:textId="77777777" w:rsidR="004F5997" w:rsidRPr="004F5997" w:rsidRDefault="004F5997" w:rsidP="00147B81">
      <w:pPr>
        <w:keepLines w:val="0"/>
        <w:numPr>
          <w:ilvl w:val="0"/>
          <w:numId w:val="4"/>
        </w:numPr>
        <w:spacing w:before="0" w:line="259" w:lineRule="auto"/>
        <w:contextualSpacing/>
        <w:jc w:val="both"/>
        <w:rPr>
          <w:rFonts w:eastAsia="Calibri" w:cs="Times New Roman"/>
          <w:color w:val="auto"/>
          <w:szCs w:val="18"/>
          <w:lang w:eastAsia="en-US"/>
        </w:rPr>
      </w:pPr>
      <w:r w:rsidRPr="004F5997">
        <w:rPr>
          <w:rFonts w:eastAsia="Calibri" w:cs="Times New Roman"/>
          <w:color w:val="auto"/>
          <w:szCs w:val="18"/>
          <w:lang w:eastAsia="en-US"/>
        </w:rPr>
        <w:t>ensures that the required professional engineering services are provided in the mandatory areas of engineering by suitably qualified, registered and endorsed, as applicable, professional engineers;</w:t>
      </w:r>
    </w:p>
    <w:p w14:paraId="7B652831" w14:textId="77777777" w:rsidR="004F5997" w:rsidRPr="004F5997" w:rsidRDefault="004F5997" w:rsidP="00147B81">
      <w:pPr>
        <w:keepLines w:val="0"/>
        <w:numPr>
          <w:ilvl w:val="0"/>
          <w:numId w:val="4"/>
        </w:numPr>
        <w:spacing w:before="0" w:after="60" w:line="259" w:lineRule="auto"/>
        <w:contextualSpacing/>
        <w:jc w:val="both"/>
        <w:rPr>
          <w:rFonts w:eastAsia="Calibri" w:cs="Times New Roman"/>
          <w:color w:val="auto"/>
          <w:szCs w:val="18"/>
          <w:lang w:eastAsia="en-US"/>
        </w:rPr>
      </w:pPr>
      <w:r w:rsidRPr="004F5997">
        <w:rPr>
          <w:rFonts w:eastAsia="Calibri" w:cs="Times New Roman"/>
          <w:color w:val="auto"/>
          <w:szCs w:val="18"/>
          <w:lang w:eastAsia="en-US"/>
        </w:rPr>
        <w:t>requires compliance undertakings that a company secretary/director or partner must execute as a condition of pre-qualification on the CSR;</w:t>
      </w:r>
    </w:p>
    <w:p w14:paraId="72C3D74F" w14:textId="77777777" w:rsidR="004F5997" w:rsidRPr="004F5997" w:rsidRDefault="004F5997" w:rsidP="00147B81">
      <w:pPr>
        <w:keepLines w:val="0"/>
        <w:numPr>
          <w:ilvl w:val="0"/>
          <w:numId w:val="4"/>
        </w:numPr>
        <w:spacing w:before="0" w:after="60" w:line="259" w:lineRule="auto"/>
        <w:contextualSpacing/>
        <w:jc w:val="both"/>
        <w:rPr>
          <w:rFonts w:eastAsia="Calibri" w:cs="Times New Roman"/>
          <w:color w:val="auto"/>
          <w:szCs w:val="18"/>
          <w:lang w:eastAsia="en-US"/>
        </w:rPr>
      </w:pPr>
      <w:r w:rsidRPr="004F5997">
        <w:rPr>
          <w:rFonts w:eastAsia="Calibri" w:cs="Times New Roman"/>
          <w:color w:val="auto"/>
          <w:szCs w:val="18"/>
          <w:lang w:eastAsia="en-US"/>
        </w:rPr>
        <w:t>requires supplier commitment to, and compliance with the provisions of the PER Act where relevant when providing construction services to the Victorian Government;</w:t>
      </w:r>
    </w:p>
    <w:p w14:paraId="5E27E71C" w14:textId="77777777" w:rsidR="004F5997" w:rsidRPr="004F5997" w:rsidRDefault="004F5997" w:rsidP="00147B81">
      <w:pPr>
        <w:keepLines w:val="0"/>
        <w:numPr>
          <w:ilvl w:val="0"/>
          <w:numId w:val="4"/>
        </w:numPr>
        <w:spacing w:before="0" w:after="60" w:line="259" w:lineRule="auto"/>
        <w:contextualSpacing/>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 xml:space="preserve">addresses legislative changes for engineering registration to promote confidence for </w:t>
      </w:r>
      <w:r w:rsidRPr="004F5997">
        <w:rPr>
          <w:rFonts w:ascii="VIC" w:eastAsia="Calibri" w:hAnsi="VIC" w:cs="Times New Roman"/>
          <w:color w:val="auto"/>
          <w:szCs w:val="18"/>
          <w:lang w:eastAsia="en-US"/>
        </w:rPr>
        <w:lastRenderedPageBreak/>
        <w:t>government departments and delivery agencies using the CSR; and</w:t>
      </w:r>
    </w:p>
    <w:p w14:paraId="3BDA0F4A" w14:textId="77777777" w:rsidR="004F5997" w:rsidRPr="004F5997" w:rsidRDefault="004F5997" w:rsidP="001414F7">
      <w:pPr>
        <w:keepLines w:val="0"/>
        <w:numPr>
          <w:ilvl w:val="0"/>
          <w:numId w:val="4"/>
        </w:numPr>
        <w:spacing w:before="0" w:line="259" w:lineRule="auto"/>
        <w:contextualSpacing/>
        <w:jc w:val="both"/>
        <w:rPr>
          <w:rFonts w:ascii="VIC" w:eastAsia="Calibri" w:hAnsi="VIC" w:cs="Times New Roman"/>
          <w:color w:val="auto"/>
          <w:szCs w:val="18"/>
          <w:lang w:eastAsia="en-US"/>
        </w:rPr>
      </w:pPr>
      <w:r w:rsidRPr="004F5997">
        <w:rPr>
          <w:rFonts w:ascii="VIC" w:eastAsia="Calibri" w:hAnsi="VIC" w:cs="Times New Roman"/>
          <w:color w:val="auto"/>
          <w:szCs w:val="18"/>
          <w:lang w:eastAsia="en-US"/>
        </w:rPr>
        <w:t>replaces any previous CSR requirement to nominate a director under the BA Act consistent with the commencement of the PER Act.</w:t>
      </w:r>
    </w:p>
    <w:p w14:paraId="20028479" w14:textId="77777777" w:rsidR="004F5997" w:rsidRPr="004F5997" w:rsidRDefault="004F5997" w:rsidP="001414F7">
      <w:pPr>
        <w:pStyle w:val="Heading3"/>
        <w:rPr>
          <w:rFonts w:eastAsia="Calibri"/>
          <w:lang w:eastAsia="en-US"/>
        </w:rPr>
      </w:pPr>
      <w:r w:rsidRPr="004F5997">
        <w:rPr>
          <w:rFonts w:eastAsia="Calibri"/>
          <w:lang w:eastAsia="en-US"/>
        </w:rPr>
        <w:t xml:space="preserve">Why is it important for departments and delivery agencies to be aware of the PER Act and its requirements? </w:t>
      </w:r>
    </w:p>
    <w:p w14:paraId="1BA0C996" w14:textId="77777777" w:rsidR="004F5997" w:rsidRPr="004F5997" w:rsidRDefault="004F5997" w:rsidP="001414F7">
      <w:pPr>
        <w:keepLines w:val="0"/>
        <w:spacing w:before="0" w:line="276" w:lineRule="auto"/>
        <w:jc w:val="both"/>
        <w:rPr>
          <w:rFonts w:eastAsia="Calibri" w:cs="Times New Roman"/>
          <w:color w:val="auto"/>
          <w:szCs w:val="18"/>
          <w:lang w:eastAsia="en-US"/>
        </w:rPr>
      </w:pPr>
      <w:r w:rsidRPr="004F5997">
        <w:rPr>
          <w:rFonts w:eastAsia="Calibri" w:cs="Times New Roman"/>
          <w:color w:val="auto"/>
          <w:szCs w:val="18"/>
          <w:lang w:eastAsia="en-US"/>
        </w:rPr>
        <w:t>It is important for departments and delivery agencies to understand the requirements of the PER Act. This ensures that their suppliers comply with the PER Act by undertaking appropriate due diligence.</w:t>
      </w:r>
    </w:p>
    <w:p w14:paraId="0D277BD0" w14:textId="1507EB60" w:rsidR="004F5997" w:rsidRPr="004F5997" w:rsidRDefault="004F5997" w:rsidP="00147B81">
      <w:pPr>
        <w:keepLines w:val="0"/>
        <w:spacing w:before="0" w:line="276" w:lineRule="auto"/>
        <w:jc w:val="both"/>
        <w:rPr>
          <w:rFonts w:eastAsia="Calibri" w:cs="Times New Roman"/>
          <w:color w:val="auto"/>
          <w:szCs w:val="18"/>
          <w:lang w:eastAsia="en-US"/>
        </w:rPr>
      </w:pPr>
      <w:r w:rsidRPr="004F5997">
        <w:rPr>
          <w:rFonts w:eastAsia="Calibri" w:cs="Times New Roman"/>
          <w:color w:val="auto"/>
          <w:szCs w:val="18"/>
          <w:lang w:eastAsia="en-US"/>
        </w:rPr>
        <w:t>Failure to do so could result in decreased consumer protection, delivery of sub-standard engineering design and services and ultimately could lead to unnecessary additional cost and time impacts on project deliverables.</w:t>
      </w:r>
      <w:r w:rsidR="00147B81">
        <w:rPr>
          <w:rFonts w:eastAsia="Calibri" w:cs="Times New Roman"/>
          <w:color w:val="auto"/>
          <w:szCs w:val="18"/>
          <w:lang w:eastAsia="en-US"/>
        </w:rPr>
        <w:t xml:space="preserve"> </w:t>
      </w:r>
      <w:r w:rsidRPr="004F5997">
        <w:rPr>
          <w:rFonts w:eastAsia="Calibri" w:cs="Times New Roman"/>
          <w:color w:val="auto"/>
          <w:szCs w:val="18"/>
          <w:lang w:eastAsia="en-US"/>
        </w:rPr>
        <w:t>Providing professional engineering services without the required registration is an offence and may result in penalties for individuals.</w:t>
      </w:r>
    </w:p>
    <w:p w14:paraId="3EC5832D" w14:textId="77777777" w:rsidR="004F5997" w:rsidRPr="004F5997" w:rsidRDefault="004F5997" w:rsidP="00147B81">
      <w:pPr>
        <w:keepLines w:val="0"/>
        <w:spacing w:before="0" w:line="276" w:lineRule="auto"/>
        <w:jc w:val="both"/>
        <w:rPr>
          <w:rFonts w:eastAsia="Calibri" w:cs="Times New Roman"/>
          <w:color w:val="auto"/>
          <w:szCs w:val="18"/>
          <w:lang w:eastAsia="en-US"/>
        </w:rPr>
      </w:pPr>
      <w:r w:rsidRPr="004F5997">
        <w:rPr>
          <w:rFonts w:eastAsia="Calibri" w:cs="Times New Roman"/>
          <w:color w:val="auto"/>
          <w:szCs w:val="18"/>
          <w:lang w:eastAsia="en-US"/>
        </w:rPr>
        <w:t>Departments and delivery agencies should also encourage suppliers to become registered and endorsed, as applicable, under the PER Act sooner rather than later to promote overall compliance and assurance for Victorian Government projects consistent with the objectives of the PER Act.</w:t>
      </w:r>
    </w:p>
    <w:p w14:paraId="3A46310D" w14:textId="77777777" w:rsidR="004F5997" w:rsidRPr="004F5997" w:rsidRDefault="004F5997" w:rsidP="00147B81">
      <w:pPr>
        <w:keepLines w:val="0"/>
        <w:spacing w:before="0" w:line="276" w:lineRule="auto"/>
        <w:jc w:val="both"/>
        <w:rPr>
          <w:rFonts w:eastAsia="Calibri" w:cs="Times New Roman"/>
          <w:color w:val="auto"/>
          <w:szCs w:val="18"/>
          <w:lang w:eastAsia="en-US"/>
        </w:rPr>
      </w:pPr>
      <w:r w:rsidRPr="004F5997">
        <w:rPr>
          <w:rFonts w:eastAsia="Calibri" w:cs="Times New Roman"/>
          <w:color w:val="auto"/>
          <w:szCs w:val="18"/>
          <w:lang w:eastAsia="en-US"/>
        </w:rPr>
        <w:t xml:space="preserve">Further information about professional engineering registration in Victoria is available on the </w:t>
      </w:r>
      <w:hyperlink r:id="rId19" w:history="1">
        <w:r w:rsidRPr="004F5997">
          <w:rPr>
            <w:rFonts w:eastAsia="Calibri" w:cs="Times New Roman"/>
            <w:color w:val="0000FF"/>
            <w:szCs w:val="18"/>
            <w:u w:val="single"/>
            <w:lang w:eastAsia="en-US"/>
          </w:rPr>
          <w:t>CAV website</w:t>
        </w:r>
      </w:hyperlink>
      <w:r w:rsidRPr="004F5997">
        <w:rPr>
          <w:rFonts w:eastAsia="Calibri" w:cs="Times New Roman"/>
          <w:color w:val="auto"/>
          <w:szCs w:val="18"/>
          <w:lang w:eastAsia="en-US"/>
        </w:rPr>
        <w:t>.</w:t>
      </w:r>
    </w:p>
    <w:p w14:paraId="31D496DE" w14:textId="18FDAC5E" w:rsidR="004F5997" w:rsidRPr="004F5997" w:rsidRDefault="004F5997" w:rsidP="00147B81">
      <w:pPr>
        <w:keepLines w:val="0"/>
        <w:spacing w:before="0" w:line="276" w:lineRule="auto"/>
        <w:jc w:val="both"/>
        <w:rPr>
          <w:rFonts w:eastAsia="Calibri" w:cs="Times New Roman"/>
          <w:color w:val="auto"/>
          <w:szCs w:val="18"/>
          <w:lang w:eastAsia="en-US"/>
        </w:rPr>
      </w:pPr>
      <w:r w:rsidRPr="004F5997">
        <w:rPr>
          <w:rFonts w:eastAsia="Calibri" w:cs="Times New Roman"/>
          <w:color w:val="auto"/>
          <w:szCs w:val="18"/>
          <w:lang w:eastAsia="en-US"/>
        </w:rPr>
        <w:t xml:space="preserve">To keep informed of updates subscribe to </w:t>
      </w:r>
      <w:hyperlink r:id="rId20" w:history="1">
        <w:r w:rsidRPr="004F5997">
          <w:rPr>
            <w:rFonts w:eastAsia="Calibri" w:cs="Times New Roman"/>
            <w:color w:val="0000FF"/>
            <w:szCs w:val="18"/>
            <w:u w:val="single"/>
            <w:lang w:eastAsia="en-US"/>
          </w:rPr>
          <w:t>CAV's professional engineer newsletter</w:t>
        </w:r>
      </w:hyperlink>
      <w:r w:rsidRPr="004F5997">
        <w:rPr>
          <w:rFonts w:eastAsia="Calibri" w:cs="Times New Roman"/>
          <w:color w:val="auto"/>
          <w:szCs w:val="18"/>
          <w:lang w:eastAsia="en-US"/>
        </w:rPr>
        <w:t>.</w:t>
      </w:r>
    </w:p>
    <w:p w14:paraId="43AC7FA4" w14:textId="77777777" w:rsidR="004F5997" w:rsidRPr="004F5997" w:rsidRDefault="004F5997" w:rsidP="00147B81">
      <w:pPr>
        <w:keepLines w:val="0"/>
        <w:spacing w:before="0" w:line="276" w:lineRule="auto"/>
        <w:jc w:val="both"/>
        <w:rPr>
          <w:rFonts w:eastAsia="Calibri" w:cs="Times New Roman"/>
          <w:color w:val="auto"/>
          <w:szCs w:val="18"/>
          <w:lang w:eastAsia="en-US"/>
        </w:rPr>
      </w:pPr>
      <w:r w:rsidRPr="004F5997">
        <w:rPr>
          <w:rFonts w:eastAsia="Calibri" w:cs="Times New Roman"/>
          <w:color w:val="auto"/>
          <w:szCs w:val="18"/>
          <w:lang w:eastAsia="en-US"/>
        </w:rPr>
        <w:t xml:space="preserve">Further information about the CSR is available on the Department of Treasury and Finance’s </w:t>
      </w:r>
      <w:hyperlink r:id="rId21" w:history="1">
        <w:r w:rsidRPr="004F5997">
          <w:rPr>
            <w:rFonts w:eastAsia="Calibri" w:cs="Times New Roman"/>
            <w:color w:val="0000FF"/>
            <w:szCs w:val="18"/>
            <w:u w:val="single"/>
            <w:lang w:eastAsia="en-US"/>
          </w:rPr>
          <w:t>website</w:t>
        </w:r>
      </w:hyperlink>
      <w:r w:rsidRPr="004F5997">
        <w:rPr>
          <w:rFonts w:eastAsia="Calibri" w:cs="Times New Roman"/>
          <w:color w:val="auto"/>
          <w:szCs w:val="18"/>
          <w:lang w:eastAsia="en-US"/>
        </w:rPr>
        <w:t>.</w:t>
      </w:r>
    </w:p>
    <w:p w14:paraId="6362D08D" w14:textId="646E2D2E" w:rsidR="001414F7" w:rsidRDefault="001414F7" w:rsidP="006E4939">
      <w:pPr>
        <w:pStyle w:val="Heading3"/>
        <w:rPr>
          <w:rFonts w:eastAsia="Calibri"/>
          <w:lang w:eastAsia="en-US"/>
        </w:rPr>
      </w:pPr>
    </w:p>
    <w:p w14:paraId="71C83179" w14:textId="77777777" w:rsidR="001414F7" w:rsidRPr="001414F7" w:rsidRDefault="001414F7" w:rsidP="001414F7">
      <w:pPr>
        <w:rPr>
          <w:lang w:eastAsia="en-US"/>
        </w:rPr>
      </w:pPr>
    </w:p>
    <w:p w14:paraId="4BA98ADF" w14:textId="5451DB9C" w:rsidR="004F5997" w:rsidRPr="004F5997" w:rsidRDefault="004F5997" w:rsidP="006E4939">
      <w:pPr>
        <w:pStyle w:val="Heading3"/>
        <w:rPr>
          <w:rFonts w:eastAsia="Calibri"/>
          <w:lang w:eastAsia="en-US"/>
        </w:rPr>
      </w:pPr>
      <w:r w:rsidRPr="004F5997">
        <w:rPr>
          <w:rFonts w:eastAsia="Calibri"/>
          <w:lang w:eastAsia="en-US"/>
        </w:rPr>
        <w:t>Other useful links:</w:t>
      </w:r>
    </w:p>
    <w:p w14:paraId="4241741D" w14:textId="77777777" w:rsidR="004F5997" w:rsidRPr="004F5997" w:rsidRDefault="00D62717" w:rsidP="00147B81">
      <w:pPr>
        <w:keepLines w:val="0"/>
        <w:numPr>
          <w:ilvl w:val="0"/>
          <w:numId w:val="5"/>
        </w:numPr>
        <w:spacing w:before="0" w:after="60" w:line="259" w:lineRule="auto"/>
        <w:contextualSpacing/>
        <w:rPr>
          <w:rFonts w:eastAsia="Calibri" w:cs="Times New Roman"/>
          <w:color w:val="auto"/>
          <w:szCs w:val="18"/>
          <w:lang w:eastAsia="en-US"/>
        </w:rPr>
      </w:pPr>
      <w:hyperlink r:id="rId22" w:history="1">
        <w:r w:rsidR="004F5997" w:rsidRPr="004F5997">
          <w:rPr>
            <w:rFonts w:eastAsia="Calibri" w:cs="Times New Roman"/>
            <w:color w:val="0000FF"/>
            <w:szCs w:val="18"/>
            <w:u w:val="single"/>
            <w:lang w:eastAsia="en-US"/>
          </w:rPr>
          <w:t>https://www.consumer.vic.gov.au/licensing-and-registration/professional-engineers/overview-and-timeline</w:t>
        </w:r>
      </w:hyperlink>
      <w:r w:rsidR="004F5997" w:rsidRPr="004F5997">
        <w:rPr>
          <w:rFonts w:eastAsia="Calibri" w:cs="Times New Roman"/>
          <w:color w:val="auto"/>
          <w:szCs w:val="18"/>
          <w:lang w:eastAsia="en-US"/>
        </w:rPr>
        <w:t xml:space="preserve"> </w:t>
      </w:r>
    </w:p>
    <w:p w14:paraId="641053F9" w14:textId="77777777" w:rsidR="004F5997" w:rsidRPr="004F5997" w:rsidRDefault="00D62717" w:rsidP="00147B81">
      <w:pPr>
        <w:keepLines w:val="0"/>
        <w:numPr>
          <w:ilvl w:val="0"/>
          <w:numId w:val="5"/>
        </w:numPr>
        <w:spacing w:before="0" w:after="60" w:line="259" w:lineRule="auto"/>
        <w:contextualSpacing/>
        <w:rPr>
          <w:rFonts w:eastAsia="Calibri" w:cs="Times New Roman"/>
          <w:color w:val="auto"/>
          <w:szCs w:val="18"/>
          <w:lang w:eastAsia="en-US"/>
        </w:rPr>
      </w:pPr>
      <w:hyperlink r:id="rId23" w:history="1">
        <w:r w:rsidR="004F5997" w:rsidRPr="004F5997">
          <w:rPr>
            <w:rFonts w:eastAsia="Calibri" w:cs="Times New Roman"/>
            <w:color w:val="0000FF"/>
            <w:szCs w:val="18"/>
            <w:u w:val="single"/>
            <w:lang w:eastAsia="en-US"/>
          </w:rPr>
          <w:t>https://registers.consumer.vic.gov.au/PEsearch</w:t>
        </w:r>
      </w:hyperlink>
    </w:p>
    <w:p w14:paraId="617276AF" w14:textId="77777777" w:rsidR="004F5997" w:rsidRPr="004F5997" w:rsidRDefault="00D62717" w:rsidP="00147B81">
      <w:pPr>
        <w:keepLines w:val="0"/>
        <w:numPr>
          <w:ilvl w:val="0"/>
          <w:numId w:val="5"/>
        </w:numPr>
        <w:spacing w:before="0" w:after="60" w:line="259" w:lineRule="auto"/>
        <w:contextualSpacing/>
        <w:rPr>
          <w:rFonts w:eastAsia="Calibri" w:cs="Times New Roman"/>
          <w:color w:val="auto"/>
          <w:szCs w:val="18"/>
          <w:lang w:eastAsia="en-US"/>
        </w:rPr>
      </w:pPr>
      <w:hyperlink r:id="rId24" w:history="1">
        <w:r w:rsidR="004F5997" w:rsidRPr="004F5997">
          <w:rPr>
            <w:rFonts w:eastAsia="Calibri" w:cs="Times New Roman"/>
            <w:color w:val="0000FF"/>
            <w:szCs w:val="18"/>
            <w:u w:val="single"/>
            <w:lang w:eastAsia="en-US"/>
          </w:rPr>
          <w:t>http://www.opv.vic.gov.au/Home</w:t>
        </w:r>
      </w:hyperlink>
    </w:p>
    <w:p w14:paraId="7F4001BE" w14:textId="77777777" w:rsidR="004F5997" w:rsidRPr="004F5997" w:rsidRDefault="00D62717" w:rsidP="00147B81">
      <w:pPr>
        <w:keepLines w:val="0"/>
        <w:numPr>
          <w:ilvl w:val="0"/>
          <w:numId w:val="5"/>
        </w:numPr>
        <w:spacing w:before="0" w:after="60" w:line="259" w:lineRule="auto"/>
        <w:contextualSpacing/>
        <w:rPr>
          <w:rFonts w:eastAsia="Calibri" w:cs="Times New Roman"/>
          <w:color w:val="auto"/>
          <w:szCs w:val="18"/>
          <w:lang w:eastAsia="en-US"/>
        </w:rPr>
      </w:pPr>
      <w:hyperlink r:id="rId25" w:history="1">
        <w:r w:rsidR="004F5997" w:rsidRPr="004F5997">
          <w:rPr>
            <w:rFonts w:eastAsia="Calibri" w:cs="Times New Roman"/>
            <w:color w:val="0000FF"/>
            <w:szCs w:val="18"/>
            <w:u w:val="single"/>
            <w:lang w:eastAsia="en-US"/>
          </w:rPr>
          <w:t>https://engage.vic.gov.au/engineers-registration</w:t>
        </w:r>
      </w:hyperlink>
    </w:p>
    <w:p w14:paraId="558FE4FC" w14:textId="77777777" w:rsidR="004F5997" w:rsidRPr="004F5997" w:rsidRDefault="004F5997" w:rsidP="00147B81">
      <w:pPr>
        <w:keepLines w:val="0"/>
        <w:numPr>
          <w:ilvl w:val="0"/>
          <w:numId w:val="5"/>
        </w:numPr>
        <w:spacing w:before="0" w:after="60" w:line="259" w:lineRule="auto"/>
        <w:contextualSpacing/>
        <w:rPr>
          <w:rFonts w:ascii="VIC" w:eastAsia="Calibri" w:hAnsi="VIC" w:cs="Times New Roman"/>
          <w:color w:val="0000FF"/>
          <w:szCs w:val="18"/>
          <w:u w:val="single"/>
          <w:lang w:eastAsia="en-US"/>
        </w:rPr>
      </w:pPr>
      <w:r w:rsidRPr="004F5997">
        <w:rPr>
          <w:rFonts w:ascii="VIC" w:eastAsia="Calibri" w:hAnsi="VIC" w:cs="Times New Roman"/>
          <w:color w:val="0000FF"/>
          <w:szCs w:val="18"/>
          <w:u w:val="single"/>
          <w:lang w:eastAsia="en-US"/>
        </w:rPr>
        <w:t>https://www.vba.vic.gov.au/registration-and-licensing/building-practitioner-registration</w:t>
      </w:r>
    </w:p>
    <w:p w14:paraId="0C508745" w14:textId="77777777" w:rsidR="004F5997" w:rsidRPr="004F5997" w:rsidRDefault="00D62717" w:rsidP="00147B81">
      <w:pPr>
        <w:keepLines w:val="0"/>
        <w:numPr>
          <w:ilvl w:val="0"/>
          <w:numId w:val="5"/>
        </w:numPr>
        <w:spacing w:before="0" w:after="60" w:line="259" w:lineRule="auto"/>
        <w:contextualSpacing/>
        <w:rPr>
          <w:rFonts w:eastAsia="Calibri" w:cs="Times New Roman"/>
          <w:color w:val="auto"/>
          <w:szCs w:val="18"/>
          <w:lang w:eastAsia="en-US"/>
        </w:rPr>
      </w:pPr>
      <w:hyperlink r:id="rId26" w:history="1">
        <w:r w:rsidR="004F5997" w:rsidRPr="004F5997">
          <w:rPr>
            <w:rFonts w:eastAsia="Calibri" w:cs="Times New Roman"/>
            <w:color w:val="0000FF"/>
            <w:szCs w:val="18"/>
            <w:u w:val="single"/>
            <w:lang w:eastAsia="en-US"/>
          </w:rPr>
          <w:t>https://ablis.business.gov.au/service/vic/professional-engineers-registration/45074</w:t>
        </w:r>
      </w:hyperlink>
    </w:p>
    <w:p w14:paraId="08620EE1" w14:textId="77777777" w:rsidR="004F5997" w:rsidRPr="004F5997" w:rsidRDefault="004F5997" w:rsidP="004F5997">
      <w:pPr>
        <w:keepLines w:val="0"/>
        <w:spacing w:before="0" w:after="200" w:line="276" w:lineRule="auto"/>
        <w:rPr>
          <w:rFonts w:eastAsia="Calibri" w:cs="Times New Roman"/>
          <w:color w:val="auto"/>
          <w:szCs w:val="18"/>
          <w:lang w:eastAsia="en-US"/>
        </w:rPr>
      </w:pPr>
    </w:p>
    <w:p w14:paraId="75CE3E28" w14:textId="71E9285A" w:rsidR="00755841" w:rsidRDefault="00755841" w:rsidP="006805B9"/>
    <w:p w14:paraId="18BDEB0D" w14:textId="0B64B74C" w:rsidR="00755841" w:rsidRDefault="00755841" w:rsidP="006805B9"/>
    <w:p w14:paraId="31D89B74" w14:textId="207FCCDB" w:rsidR="00755841" w:rsidRDefault="00755841" w:rsidP="006805B9"/>
    <w:p w14:paraId="61E2A4A1" w14:textId="24B8FB53" w:rsidR="00755841" w:rsidRDefault="00755841" w:rsidP="006805B9"/>
    <w:p w14:paraId="678E6C67" w14:textId="651A4EAF" w:rsidR="00755841" w:rsidRDefault="00755841" w:rsidP="006805B9"/>
    <w:p w14:paraId="3D497F25" w14:textId="475810A9" w:rsidR="00755841" w:rsidRDefault="00755841" w:rsidP="006805B9"/>
    <w:p w14:paraId="188405DA" w14:textId="07BB7D9E" w:rsidR="00755841" w:rsidRDefault="00755841" w:rsidP="006805B9"/>
    <w:p w14:paraId="3ECEC215" w14:textId="77777777" w:rsidR="00755841" w:rsidRDefault="00755841" w:rsidP="006805B9"/>
    <w:sectPr w:rsidR="00755841" w:rsidSect="0096774E">
      <w:type w:val="continuous"/>
      <w:pgSz w:w="11906" w:h="16838" w:code="9"/>
      <w:pgMar w:top="648" w:right="1152" w:bottom="1728" w:left="1152" w:header="706" w:footer="46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2DFA" w14:textId="77777777" w:rsidR="008B44D7" w:rsidRDefault="008B44D7" w:rsidP="006805B9">
      <w:r>
        <w:separator/>
      </w:r>
    </w:p>
  </w:endnote>
  <w:endnote w:type="continuationSeparator" w:id="0">
    <w:p w14:paraId="7573534E" w14:textId="77777777" w:rsidR="008B44D7" w:rsidRDefault="008B44D7" w:rsidP="0068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Semi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7B1" w14:textId="77777777" w:rsidR="00D62717" w:rsidRDefault="00D62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93E0" w14:textId="035C8F08" w:rsidR="00522F8A" w:rsidRDefault="00491C72" w:rsidP="00491C72">
    <w:pPr>
      <w:pStyle w:val="Footer"/>
      <w:tabs>
        <w:tab w:val="clear" w:pos="9026"/>
        <w:tab w:val="right" w:pos="9602"/>
      </w:tabs>
      <w:rPr>
        <w:rStyle w:val="PageNumber"/>
      </w:rPr>
    </w:pPr>
    <w:r>
      <mc:AlternateContent>
        <mc:Choice Requires="wps">
          <w:drawing>
            <wp:anchor distT="0" distB="0" distL="114300" distR="114300" simplePos="0" relativeHeight="251671552" behindDoc="0" locked="0" layoutInCell="0" allowOverlap="1" wp14:anchorId="7FB6C2AA" wp14:editId="2156F9A8">
              <wp:simplePos x="0" y="0"/>
              <wp:positionH relativeFrom="page">
                <wp:posOffset>0</wp:posOffset>
              </wp:positionH>
              <wp:positionV relativeFrom="page">
                <wp:posOffset>10234930</wp:posOffset>
              </wp:positionV>
              <wp:extent cx="7560310" cy="266700"/>
              <wp:effectExtent l="0" t="0" r="0" b="0"/>
              <wp:wrapNone/>
              <wp:docPr id="2" name="MSIPCMe85848a0ab60c8dfe39d64e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52C01" w14:textId="77777777" w:rsidR="00AC4C1D" w:rsidRPr="00841100" w:rsidRDefault="00AC4C1D" w:rsidP="00AC4C1D">
                          <w:pPr>
                            <w:spacing w:before="0" w:after="0"/>
                            <w:rPr>
                              <w:rFonts w:cs="Calibri"/>
                              <w:color w:val="000000"/>
                              <w:sz w:val="22"/>
                            </w:rPr>
                          </w:pPr>
                          <w:r w:rsidRPr="00841100">
                            <w:rPr>
                              <w:rFonts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B6C2AA" id="_x0000_t202" coordsize="21600,21600" o:spt="202" path="m,l,21600r21600,l21600,xe">
              <v:stroke joinstyle="miter"/>
              <v:path gradientshapeok="t" o:connecttype="rect"/>
            </v:shapetype>
            <v:shape id="MSIPCMe85848a0ab60c8dfe39d64e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2352C01" w14:textId="77777777" w:rsidR="00AC4C1D" w:rsidRPr="00841100" w:rsidRDefault="00AC4C1D" w:rsidP="00AC4C1D">
                    <w:pPr>
                      <w:spacing w:before="0" w:after="0"/>
                      <w:rPr>
                        <w:rFonts w:cs="Calibri"/>
                        <w:color w:val="000000"/>
                        <w:sz w:val="22"/>
                      </w:rPr>
                    </w:pPr>
                    <w:r w:rsidRPr="00841100">
                      <w:rPr>
                        <w:rFonts w:cs="Calibri"/>
                        <w:color w:val="000000"/>
                        <w:sz w:val="22"/>
                      </w:rPr>
                      <w:t>OFFICIAL</w:t>
                    </w:r>
                  </w:p>
                </w:txbxContent>
              </v:textbox>
              <w10:wrap anchorx="page" anchory="page"/>
            </v:shape>
          </w:pict>
        </mc:Fallback>
      </mc:AlternateContent>
    </w:r>
    <w:r w:rsidR="00522F8A" w:rsidRPr="008E49B3">
      <w:rPr>
        <w:noProof w:val="0"/>
      </w:rPr>
      <w:fldChar w:fldCharType="begin"/>
    </w:r>
    <w:r w:rsidR="00522F8A" w:rsidRPr="008E49B3">
      <w:instrText xml:space="preserve"> StyleRef “Title” </w:instrText>
    </w:r>
    <w:r w:rsidR="00522F8A" w:rsidRPr="008E49B3">
      <w:rPr>
        <w:noProof w:val="0"/>
      </w:rPr>
      <w:fldChar w:fldCharType="separate"/>
    </w:r>
    <w:r w:rsidR="00D62717">
      <w:t>PROFESSIONAL ENGINEERING SERVICES IN PUBLIC CONSTRUCTION PROCUREMENT</w:t>
    </w:r>
    <w:r w:rsidR="00522F8A" w:rsidRPr="008E49B3">
      <w:fldChar w:fldCharType="end"/>
    </w:r>
    <w:r>
      <w:tab/>
      <w:t xml:space="preserve">Page </w:t>
    </w:r>
    <w:r>
      <w:fldChar w:fldCharType="begin"/>
    </w:r>
    <w:r>
      <w:instrText xml:space="preserve"> page </w:instrText>
    </w:r>
    <w:r>
      <w:fldChar w:fldCharType="separate"/>
    </w:r>
    <w:r>
      <w:t>2</w:t>
    </w:r>
    <w:r>
      <w:fldChar w:fldCharType="end"/>
    </w:r>
  </w:p>
  <w:p w14:paraId="3F2DDD14" w14:textId="77777777" w:rsidR="00522F8A" w:rsidRPr="00C022F9" w:rsidRDefault="00522F8A" w:rsidP="00680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0B1A" w14:textId="77777777" w:rsidR="00973844" w:rsidRDefault="00AC4C1D" w:rsidP="004C7125">
    <w:pPr>
      <w:pStyle w:val="Footer"/>
      <w:jc w:val="right"/>
    </w:pPr>
    <w:r>
      <mc:AlternateContent>
        <mc:Choice Requires="wps">
          <w:drawing>
            <wp:anchor distT="0" distB="0" distL="114300" distR="114300" simplePos="0" relativeHeight="251672576" behindDoc="0" locked="0" layoutInCell="0" allowOverlap="1" wp14:anchorId="20B46C4A" wp14:editId="44AB0695">
              <wp:simplePos x="0" y="0"/>
              <wp:positionH relativeFrom="page">
                <wp:posOffset>0</wp:posOffset>
              </wp:positionH>
              <wp:positionV relativeFrom="page">
                <wp:posOffset>10234930</wp:posOffset>
              </wp:positionV>
              <wp:extent cx="7560310" cy="266700"/>
              <wp:effectExtent l="0" t="0" r="0" b="0"/>
              <wp:wrapNone/>
              <wp:docPr id="3" name="MSIPCM8a4040288728c2a5ed202675"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730E6" w14:textId="77777777" w:rsidR="00AC4C1D" w:rsidRPr="00841100" w:rsidRDefault="00AC4C1D" w:rsidP="00AC4C1D">
                          <w:pPr>
                            <w:spacing w:before="0" w:after="0"/>
                            <w:rPr>
                              <w:rFonts w:cs="Calibri"/>
                              <w:color w:val="000000"/>
                              <w:sz w:val="22"/>
                            </w:rPr>
                          </w:pPr>
                          <w:r w:rsidRPr="00841100">
                            <w:rPr>
                              <w:rFonts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B46C4A" id="_x0000_t202" coordsize="21600,21600" o:spt="202" path="m,l,21600r21600,l21600,xe">
              <v:stroke joinstyle="miter"/>
              <v:path gradientshapeok="t" o:connecttype="rect"/>
            </v:shapetype>
            <v:shape id="MSIPCM8a4040288728c2a5ed202675" o:spid="_x0000_s1027" type="#_x0000_t202" alt="{&quot;HashCode&quot;:-1267603503,&quot;Height&quot;:841.0,&quot;Width&quot;:595.0,&quot;Placement&quot;:&quot;Footer&quot;,&quot;Index&quot;:&quot;FirstPage&quot;,&quot;Section&quot;:1,&quot;Top&quot;:0.0,&quot;Left&quot;:0.0}" style="position:absolute;left:0;text-align:left;margin-left:0;margin-top:805.9pt;width:595.3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101730E6" w14:textId="77777777" w:rsidR="00AC4C1D" w:rsidRPr="00841100" w:rsidRDefault="00AC4C1D" w:rsidP="00AC4C1D">
                    <w:pPr>
                      <w:spacing w:before="0" w:after="0"/>
                      <w:rPr>
                        <w:rFonts w:cs="Calibri"/>
                        <w:color w:val="000000"/>
                        <w:sz w:val="22"/>
                      </w:rPr>
                    </w:pPr>
                    <w:r w:rsidRPr="00841100">
                      <w:rPr>
                        <w:rFonts w:cs="Calibri"/>
                        <w:color w:val="000000"/>
                        <w:sz w:val="22"/>
                      </w:rPr>
                      <w:t>OFFICIAL</w:t>
                    </w:r>
                  </w:p>
                </w:txbxContent>
              </v:textbox>
              <w10:wrap anchorx="page" anchory="page"/>
            </v:shape>
          </w:pict>
        </mc:Fallback>
      </mc:AlternateContent>
    </w:r>
    <w:r w:rsidR="00C02CEC">
      <w:drawing>
        <wp:inline distT="0" distB="0" distL="0" distR="0" wp14:anchorId="702868B4" wp14:editId="5945B4C7">
          <wp:extent cx="1536192" cy="457200"/>
          <wp:effectExtent l="0" t="0" r="6985" b="0"/>
          <wp:docPr id="17"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A5AA" w14:textId="77777777" w:rsidR="008B44D7" w:rsidRDefault="008B44D7" w:rsidP="006805B9">
      <w:r>
        <w:separator/>
      </w:r>
    </w:p>
  </w:footnote>
  <w:footnote w:type="continuationSeparator" w:id="0">
    <w:p w14:paraId="63470FB4" w14:textId="77777777" w:rsidR="008B44D7" w:rsidRDefault="008B44D7" w:rsidP="0068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2DDE" w14:textId="77777777" w:rsidR="00D62717" w:rsidRDefault="00D62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9DF2" w14:textId="77777777" w:rsidR="00F417C3" w:rsidRPr="0041689E" w:rsidRDefault="007B141C" w:rsidP="006805B9">
    <w:pPr>
      <w:pStyle w:val="Header"/>
    </w:pPr>
    <w:r>
      <w:rPr>
        <w:noProof/>
      </w:rPr>
      <mc:AlternateContent>
        <mc:Choice Requires="wpg">
          <w:drawing>
            <wp:anchor distT="0" distB="0" distL="114300" distR="114300" simplePos="0" relativeHeight="251670528" behindDoc="0" locked="0" layoutInCell="1" allowOverlap="1" wp14:anchorId="1AF536A4" wp14:editId="4C3DF397">
              <wp:simplePos x="0" y="0"/>
              <wp:positionH relativeFrom="page">
                <wp:posOffset>-31805</wp:posOffset>
              </wp:positionH>
              <wp:positionV relativeFrom="paragraph">
                <wp:posOffset>-440359</wp:posOffset>
              </wp:positionV>
              <wp:extent cx="7653528" cy="896112"/>
              <wp:effectExtent l="0" t="0" r="5080" b="0"/>
              <wp:wrapTopAndBottom/>
              <wp:docPr id="13"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53528" cy="896112"/>
                        <a:chOff x="914400" y="524786"/>
                        <a:chExt cx="5420963" cy="635888"/>
                      </a:xfrm>
                    </wpg:grpSpPr>
                    <wps:wsp>
                      <wps:cNvPr id="14" name="Shape 2"/>
                      <wps:cNvSpPr/>
                      <wps:spPr>
                        <a:xfrm>
                          <a:off x="3923918" y="524786"/>
                          <a:ext cx="2411445" cy="635888"/>
                        </a:xfrm>
                        <a:custGeom>
                          <a:avLst/>
                          <a:gdLst>
                            <a:gd name="connsiteX0" fmla="*/ 2411445 w 2411444"/>
                            <a:gd name="connsiteY0" fmla="*/ 0 h 769524"/>
                            <a:gd name="connsiteX1" fmla="*/ 0 w 2411444"/>
                            <a:gd name="connsiteY1" fmla="*/ 0 h 769524"/>
                            <a:gd name="connsiteX2" fmla="*/ 363760 w 2411444"/>
                            <a:gd name="connsiteY2" fmla="*/ 769525 h 769524"/>
                            <a:gd name="connsiteX3" fmla="*/ 2410111 w 2411444"/>
                            <a:gd name="connsiteY3" fmla="*/ 769525 h 769524"/>
                            <a:gd name="connsiteX4" fmla="*/ 2411445 w 2411444"/>
                            <a:gd name="connsiteY4" fmla="*/ 0 h 769524"/>
                            <a:gd name="connsiteX0" fmla="*/ 2411445 w 2411445"/>
                            <a:gd name="connsiteY0" fmla="*/ 0 h 769525"/>
                            <a:gd name="connsiteX1" fmla="*/ 0 w 2411445"/>
                            <a:gd name="connsiteY1" fmla="*/ 0 h 769525"/>
                            <a:gd name="connsiteX2" fmla="*/ 300185 w 2411445"/>
                            <a:gd name="connsiteY2" fmla="*/ 635888 h 769525"/>
                            <a:gd name="connsiteX3" fmla="*/ 2410111 w 2411445"/>
                            <a:gd name="connsiteY3" fmla="*/ 769525 h 769525"/>
                            <a:gd name="connsiteX4" fmla="*/ 2411445 w 2411445"/>
                            <a:gd name="connsiteY4" fmla="*/ 0 h 769525"/>
                            <a:gd name="connsiteX0" fmla="*/ 2411445 w 2411445"/>
                            <a:gd name="connsiteY0" fmla="*/ 0 h 635888"/>
                            <a:gd name="connsiteX1" fmla="*/ 0 w 2411445"/>
                            <a:gd name="connsiteY1" fmla="*/ 0 h 635888"/>
                            <a:gd name="connsiteX2" fmla="*/ 300185 w 2411445"/>
                            <a:gd name="connsiteY2" fmla="*/ 635888 h 635888"/>
                            <a:gd name="connsiteX3" fmla="*/ 2406138 w 2411445"/>
                            <a:gd name="connsiteY3" fmla="*/ 635722 h 635888"/>
                            <a:gd name="connsiteX4" fmla="*/ 2411445 w 2411445"/>
                            <a:gd name="connsiteY4" fmla="*/ 0 h 635888"/>
                            <a:gd name="connsiteX0" fmla="*/ 2411445 w 2411445"/>
                            <a:gd name="connsiteY0" fmla="*/ 0 h 640087"/>
                            <a:gd name="connsiteX1" fmla="*/ 0 w 2411445"/>
                            <a:gd name="connsiteY1" fmla="*/ 0 h 640087"/>
                            <a:gd name="connsiteX2" fmla="*/ 300185 w 2411445"/>
                            <a:gd name="connsiteY2" fmla="*/ 635888 h 640087"/>
                            <a:gd name="connsiteX3" fmla="*/ 2402164 w 2411445"/>
                            <a:gd name="connsiteY3" fmla="*/ 640087 h 640087"/>
                            <a:gd name="connsiteX4" fmla="*/ 2411445 w 2411445"/>
                            <a:gd name="connsiteY4" fmla="*/ 0 h 640087"/>
                            <a:gd name="connsiteX0" fmla="*/ 2411445 w 2411445"/>
                            <a:gd name="connsiteY0" fmla="*/ 0 h 635888"/>
                            <a:gd name="connsiteX1" fmla="*/ 0 w 2411445"/>
                            <a:gd name="connsiteY1" fmla="*/ 0 h 635888"/>
                            <a:gd name="connsiteX2" fmla="*/ 300185 w 2411445"/>
                            <a:gd name="connsiteY2" fmla="*/ 635888 h 635888"/>
                            <a:gd name="connsiteX3" fmla="*/ 2398605 w 2411445"/>
                            <a:gd name="connsiteY3" fmla="*/ 632969 h 635888"/>
                            <a:gd name="connsiteX4" fmla="*/ 2411445 w 2411445"/>
                            <a:gd name="connsiteY4" fmla="*/ 0 h 6358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1445" h="635888">
                              <a:moveTo>
                                <a:pt x="2411445" y="0"/>
                              </a:moveTo>
                              <a:lnTo>
                                <a:pt x="0" y="0"/>
                              </a:lnTo>
                              <a:lnTo>
                                <a:pt x="300185" y="635888"/>
                              </a:lnTo>
                              <a:lnTo>
                                <a:pt x="2398605" y="632969"/>
                              </a:lnTo>
                              <a:cubicBezTo>
                                <a:pt x="2399050" y="376461"/>
                                <a:pt x="2411000" y="256508"/>
                                <a:pt x="2411445" y="0"/>
                              </a:cubicBez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1"/>
                      <wps:cNvSpPr/>
                      <wps:spPr>
                        <a:xfrm>
                          <a:off x="914400" y="524786"/>
                          <a:ext cx="3329082" cy="337470"/>
                        </a:xfrm>
                        <a:custGeom>
                          <a:avLst/>
                          <a:gdLst>
                            <a:gd name="connsiteX0" fmla="*/ 0 w 3329082"/>
                            <a:gd name="connsiteY0" fmla="*/ 337471 h 337470"/>
                            <a:gd name="connsiteX1" fmla="*/ 3169539 w 3329082"/>
                            <a:gd name="connsiteY1" fmla="*/ 337471 h 337470"/>
                            <a:gd name="connsiteX2" fmla="*/ 3329083 w 3329082"/>
                            <a:gd name="connsiteY2" fmla="*/ 0 h 337470"/>
                            <a:gd name="connsiteX3" fmla="*/ 0 w 3329082"/>
                            <a:gd name="connsiteY3" fmla="*/ 0 h 337470"/>
                            <a:gd name="connsiteX4" fmla="*/ 0 w 3329082"/>
                            <a:gd name="connsiteY4" fmla="*/ 337471 h 337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9082" h="337470">
                              <a:moveTo>
                                <a:pt x="0" y="337471"/>
                              </a:moveTo>
                              <a:lnTo>
                                <a:pt x="3169539" y="337471"/>
                              </a:lnTo>
                              <a:lnTo>
                                <a:pt x="3329083" y="0"/>
                              </a:lnTo>
                              <a:lnTo>
                                <a:pt x="0" y="0"/>
                              </a:lnTo>
                              <a:lnTo>
                                <a:pt x="0" y="337471"/>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84549" id="Page banner" o:spid="_x0000_s1026" alt="&quot;&quot;" style="position:absolute;margin-left:-2.5pt;margin-top:-34.65pt;width:602.65pt;height:70.55pt;z-index:251670528;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">
              <v:shape id="Shape 2" o:spid="_x0000_s1027"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8"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" path="m,337471r3169539,l3329083,,,,,337471xe" fillcolor="#232b39 [3213]" stroked="f">
                <v:stroke joinstyle="miter"/>
                <v:path arrowok="t" o:connecttype="custom" o:connectlocs="0,337471;3169539,337471;3329083,0;0,0;0,337471" o:connectangles="0,0,0,0,0"/>
              </v:shape>
              <w10:wrap type="topAndBottom"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29A6" w14:textId="77777777" w:rsidR="00D62717" w:rsidRDefault="00D6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7DD5614"/>
    <w:multiLevelType w:val="hybridMultilevel"/>
    <w:tmpl w:val="FC18EC30"/>
    <w:lvl w:ilvl="0" w:tplc="436E4358">
      <w:numFmt w:val="bullet"/>
      <w:lvlText w:val="•"/>
      <w:lvlJc w:val="left"/>
      <w:pPr>
        <w:ind w:left="360" w:hanging="360"/>
      </w:pPr>
      <w:rPr>
        <w:rFonts w:ascii="VIC" w:eastAsia="Calibri" w:hAnsi="VIC"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1E07859"/>
    <w:multiLevelType w:val="hybridMultilevel"/>
    <w:tmpl w:val="85FED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2EA00B2"/>
    <w:multiLevelType w:val="hybridMultilevel"/>
    <w:tmpl w:val="A78EA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27482402">
    <w:abstractNumId w:val="4"/>
  </w:num>
  <w:num w:numId="2" w16cid:durableId="1618635967">
    <w:abstractNumId w:val="5"/>
  </w:num>
  <w:num w:numId="3" w16cid:durableId="120610684">
    <w:abstractNumId w:val="0"/>
  </w:num>
  <w:num w:numId="4" w16cid:durableId="230621582">
    <w:abstractNumId w:val="2"/>
  </w:num>
  <w:num w:numId="5" w16cid:durableId="1074595645">
    <w:abstractNumId w:val="3"/>
  </w:num>
  <w:num w:numId="6" w16cid:durableId="97788345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ocumentProtection w:edit="readOnly" w:enforcement="1" w:cryptProviderType="rsaAES" w:cryptAlgorithmClass="hash" w:cryptAlgorithmType="typeAny" w:cryptAlgorithmSid="14" w:cryptSpinCount="100000" w:hash="UcwVViM6UY/kFjiCjK5vzsnnsd/vTHr8JM++vpEmkvP63wZzKgJSclAUXoxJT+hkYMRcOYh6UDNcfGnCsyfJ8A==" w:salt="G6qWtfBw96ycp1NXZYhRC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D7"/>
    <w:rsid w:val="00012F6F"/>
    <w:rsid w:val="00014213"/>
    <w:rsid w:val="00014B55"/>
    <w:rsid w:val="00020E3E"/>
    <w:rsid w:val="00023BF3"/>
    <w:rsid w:val="00026811"/>
    <w:rsid w:val="00030708"/>
    <w:rsid w:val="00043296"/>
    <w:rsid w:val="0004356D"/>
    <w:rsid w:val="00045296"/>
    <w:rsid w:val="00072A2A"/>
    <w:rsid w:val="00075E6C"/>
    <w:rsid w:val="00090171"/>
    <w:rsid w:val="000B29AD"/>
    <w:rsid w:val="000B5CFD"/>
    <w:rsid w:val="000C6372"/>
    <w:rsid w:val="000D593F"/>
    <w:rsid w:val="000E392D"/>
    <w:rsid w:val="000F4288"/>
    <w:rsid w:val="000F7165"/>
    <w:rsid w:val="00102379"/>
    <w:rsid w:val="001065D6"/>
    <w:rsid w:val="00121252"/>
    <w:rsid w:val="00124609"/>
    <w:rsid w:val="001254CE"/>
    <w:rsid w:val="00125514"/>
    <w:rsid w:val="00126AF9"/>
    <w:rsid w:val="00126CC7"/>
    <w:rsid w:val="00134CEA"/>
    <w:rsid w:val="001414F7"/>
    <w:rsid w:val="001422CC"/>
    <w:rsid w:val="00147B81"/>
    <w:rsid w:val="001617B6"/>
    <w:rsid w:val="00165E66"/>
    <w:rsid w:val="001A3DD1"/>
    <w:rsid w:val="001C7BAE"/>
    <w:rsid w:val="001D717E"/>
    <w:rsid w:val="001E31FA"/>
    <w:rsid w:val="001E64F6"/>
    <w:rsid w:val="00200BB3"/>
    <w:rsid w:val="00222BEB"/>
    <w:rsid w:val="00225E60"/>
    <w:rsid w:val="00227C39"/>
    <w:rsid w:val="0023202C"/>
    <w:rsid w:val="00236203"/>
    <w:rsid w:val="00240614"/>
    <w:rsid w:val="00245043"/>
    <w:rsid w:val="002576CA"/>
    <w:rsid w:val="00257760"/>
    <w:rsid w:val="00292D36"/>
    <w:rsid w:val="00297281"/>
    <w:rsid w:val="002C54E0"/>
    <w:rsid w:val="002D711A"/>
    <w:rsid w:val="002D7336"/>
    <w:rsid w:val="002E3396"/>
    <w:rsid w:val="0031149C"/>
    <w:rsid w:val="00313BAD"/>
    <w:rsid w:val="00330A9A"/>
    <w:rsid w:val="0038771C"/>
    <w:rsid w:val="00392A8F"/>
    <w:rsid w:val="0039405B"/>
    <w:rsid w:val="003A1C92"/>
    <w:rsid w:val="003A541A"/>
    <w:rsid w:val="003A6923"/>
    <w:rsid w:val="003C2C67"/>
    <w:rsid w:val="003C2EA2"/>
    <w:rsid w:val="003C5BA4"/>
    <w:rsid w:val="003E3E26"/>
    <w:rsid w:val="003F1295"/>
    <w:rsid w:val="003F76FC"/>
    <w:rsid w:val="004002EB"/>
    <w:rsid w:val="004017A0"/>
    <w:rsid w:val="00405C57"/>
    <w:rsid w:val="0041689E"/>
    <w:rsid w:val="004236C8"/>
    <w:rsid w:val="00427681"/>
    <w:rsid w:val="00433DB7"/>
    <w:rsid w:val="00453750"/>
    <w:rsid w:val="00456941"/>
    <w:rsid w:val="004669E3"/>
    <w:rsid w:val="004702EA"/>
    <w:rsid w:val="00482D02"/>
    <w:rsid w:val="00491C72"/>
    <w:rsid w:val="004A7519"/>
    <w:rsid w:val="004B41CA"/>
    <w:rsid w:val="004C7125"/>
    <w:rsid w:val="004D3518"/>
    <w:rsid w:val="004D62D6"/>
    <w:rsid w:val="004F5997"/>
    <w:rsid w:val="00503EBE"/>
    <w:rsid w:val="005129A3"/>
    <w:rsid w:val="005166E7"/>
    <w:rsid w:val="00522F8A"/>
    <w:rsid w:val="0053416C"/>
    <w:rsid w:val="00541C2F"/>
    <w:rsid w:val="00563527"/>
    <w:rsid w:val="0058124E"/>
    <w:rsid w:val="00584301"/>
    <w:rsid w:val="005875A3"/>
    <w:rsid w:val="005A3416"/>
    <w:rsid w:val="005B27FE"/>
    <w:rsid w:val="005C3E6D"/>
    <w:rsid w:val="005F331D"/>
    <w:rsid w:val="005F61DF"/>
    <w:rsid w:val="006023F9"/>
    <w:rsid w:val="00610559"/>
    <w:rsid w:val="00632680"/>
    <w:rsid w:val="006332F6"/>
    <w:rsid w:val="006361E7"/>
    <w:rsid w:val="00641096"/>
    <w:rsid w:val="00652625"/>
    <w:rsid w:val="006534B2"/>
    <w:rsid w:val="0065615D"/>
    <w:rsid w:val="00657011"/>
    <w:rsid w:val="006650B5"/>
    <w:rsid w:val="006651B1"/>
    <w:rsid w:val="00665778"/>
    <w:rsid w:val="006738C4"/>
    <w:rsid w:val="006805B9"/>
    <w:rsid w:val="00691C09"/>
    <w:rsid w:val="006A5B34"/>
    <w:rsid w:val="006A5F5B"/>
    <w:rsid w:val="006C77A9"/>
    <w:rsid w:val="006E4939"/>
    <w:rsid w:val="006F6693"/>
    <w:rsid w:val="00707FE8"/>
    <w:rsid w:val="00711769"/>
    <w:rsid w:val="00711DDD"/>
    <w:rsid w:val="00724962"/>
    <w:rsid w:val="00724A0F"/>
    <w:rsid w:val="0073072C"/>
    <w:rsid w:val="007320B4"/>
    <w:rsid w:val="00732162"/>
    <w:rsid w:val="00736732"/>
    <w:rsid w:val="00750CBE"/>
    <w:rsid w:val="00755841"/>
    <w:rsid w:val="00766B5A"/>
    <w:rsid w:val="007834F2"/>
    <w:rsid w:val="00791020"/>
    <w:rsid w:val="007A5F82"/>
    <w:rsid w:val="007B141C"/>
    <w:rsid w:val="007B75A4"/>
    <w:rsid w:val="007F1A4C"/>
    <w:rsid w:val="008022C3"/>
    <w:rsid w:val="008041E6"/>
    <w:rsid w:val="008065D2"/>
    <w:rsid w:val="0082194C"/>
    <w:rsid w:val="008220C4"/>
    <w:rsid w:val="008222FF"/>
    <w:rsid w:val="00822DEC"/>
    <w:rsid w:val="008241FF"/>
    <w:rsid w:val="00841100"/>
    <w:rsid w:val="008411E9"/>
    <w:rsid w:val="0084200F"/>
    <w:rsid w:val="00843B2C"/>
    <w:rsid w:val="008471C4"/>
    <w:rsid w:val="008A4900"/>
    <w:rsid w:val="008B44D7"/>
    <w:rsid w:val="008D0281"/>
    <w:rsid w:val="008E3C4E"/>
    <w:rsid w:val="008E49B3"/>
    <w:rsid w:val="008F6D45"/>
    <w:rsid w:val="0096774E"/>
    <w:rsid w:val="00973844"/>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E7F3E"/>
    <w:rsid w:val="009F2ED9"/>
    <w:rsid w:val="009F3231"/>
    <w:rsid w:val="009F5C58"/>
    <w:rsid w:val="00A023A0"/>
    <w:rsid w:val="00A1562B"/>
    <w:rsid w:val="00A170F4"/>
    <w:rsid w:val="00A2559E"/>
    <w:rsid w:val="00A25FD9"/>
    <w:rsid w:val="00A46BA8"/>
    <w:rsid w:val="00A47634"/>
    <w:rsid w:val="00A612FE"/>
    <w:rsid w:val="00AA26B8"/>
    <w:rsid w:val="00AA6FB5"/>
    <w:rsid w:val="00AB3FE2"/>
    <w:rsid w:val="00AC4C1D"/>
    <w:rsid w:val="00AD3322"/>
    <w:rsid w:val="00AD7E4E"/>
    <w:rsid w:val="00AE0BEF"/>
    <w:rsid w:val="00AF34DE"/>
    <w:rsid w:val="00AF4D58"/>
    <w:rsid w:val="00AF6666"/>
    <w:rsid w:val="00B10154"/>
    <w:rsid w:val="00B81B44"/>
    <w:rsid w:val="00B9053B"/>
    <w:rsid w:val="00BB660E"/>
    <w:rsid w:val="00BC3422"/>
    <w:rsid w:val="00BF27CA"/>
    <w:rsid w:val="00BF3B71"/>
    <w:rsid w:val="00C015B9"/>
    <w:rsid w:val="00C022F9"/>
    <w:rsid w:val="00C02CEC"/>
    <w:rsid w:val="00C032EA"/>
    <w:rsid w:val="00C06EB5"/>
    <w:rsid w:val="00C1145F"/>
    <w:rsid w:val="00C637E1"/>
    <w:rsid w:val="00C70D50"/>
    <w:rsid w:val="00C8243E"/>
    <w:rsid w:val="00C907D7"/>
    <w:rsid w:val="00C92338"/>
    <w:rsid w:val="00CA24D2"/>
    <w:rsid w:val="00CA7C3A"/>
    <w:rsid w:val="00CA7E82"/>
    <w:rsid w:val="00CC2DB2"/>
    <w:rsid w:val="00CD0307"/>
    <w:rsid w:val="00CD3D1B"/>
    <w:rsid w:val="00CE62B3"/>
    <w:rsid w:val="00CF7DCA"/>
    <w:rsid w:val="00D211E9"/>
    <w:rsid w:val="00D2312F"/>
    <w:rsid w:val="00D269C1"/>
    <w:rsid w:val="00D44953"/>
    <w:rsid w:val="00D542F3"/>
    <w:rsid w:val="00D543E5"/>
    <w:rsid w:val="00D5644B"/>
    <w:rsid w:val="00D56E25"/>
    <w:rsid w:val="00D62717"/>
    <w:rsid w:val="00D71896"/>
    <w:rsid w:val="00D718D7"/>
    <w:rsid w:val="00D73212"/>
    <w:rsid w:val="00D814B7"/>
    <w:rsid w:val="00D82C5B"/>
    <w:rsid w:val="00D90688"/>
    <w:rsid w:val="00DA3AAD"/>
    <w:rsid w:val="00DB312B"/>
    <w:rsid w:val="00DC5654"/>
    <w:rsid w:val="00DC658F"/>
    <w:rsid w:val="00DE60CC"/>
    <w:rsid w:val="00E12AB4"/>
    <w:rsid w:val="00E26B32"/>
    <w:rsid w:val="00E31444"/>
    <w:rsid w:val="00E407B6"/>
    <w:rsid w:val="00E41EF1"/>
    <w:rsid w:val="00E42942"/>
    <w:rsid w:val="00E468A6"/>
    <w:rsid w:val="00E56BBE"/>
    <w:rsid w:val="00E71BDF"/>
    <w:rsid w:val="00E83CA7"/>
    <w:rsid w:val="00EC171D"/>
    <w:rsid w:val="00ED487E"/>
    <w:rsid w:val="00EE22C3"/>
    <w:rsid w:val="00EE7706"/>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E7506"/>
  <w15:docId w15:val="{FBE246E5-D5B4-41FF-834B-FA86993E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491C72"/>
    <w:pPr>
      <w:keepLines/>
      <w:spacing w:before="120" w:after="120" w:line="252" w:lineRule="auto"/>
    </w:pPr>
    <w:rPr>
      <w:color w:val="232B39" w:themeColor="text1"/>
      <w:sz w:val="18"/>
    </w:rPr>
  </w:style>
  <w:style w:type="paragraph" w:styleId="Heading1">
    <w:name w:val="heading 1"/>
    <w:next w:val="Normal"/>
    <w:link w:val="Heading1Char"/>
    <w:qFormat/>
    <w:rsid w:val="0096774E"/>
    <w:pPr>
      <w:keepNext/>
      <w:keepLines/>
      <w:spacing w:before="24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96774E"/>
    <w:pPr>
      <w:keepNext/>
      <w:spacing w:before="200" w:after="24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semiHidden/>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009CA7" w:themeColor="accent4"/>
        <w:left w:val="single" w:sz="8" w:space="0" w:color="009CA7" w:themeColor="accent4"/>
        <w:bottom w:val="single" w:sz="8" w:space="0" w:color="009CA7" w:themeColor="accent4"/>
        <w:right w:val="single" w:sz="8" w:space="0" w:color="009CA7" w:themeColor="accent4"/>
      </w:tblBorders>
    </w:tblPr>
    <w:tblStylePr w:type="firstRow">
      <w:pPr>
        <w:spacing w:before="0" w:after="0" w:line="240" w:lineRule="auto"/>
      </w:pPr>
      <w:rPr>
        <w:b/>
        <w:bCs/>
        <w:color w:val="FFFFFF" w:themeColor="background1"/>
      </w:rPr>
      <w:tblPr/>
      <w:tcPr>
        <w:shd w:val="clear" w:color="auto" w:fill="009CA7" w:themeFill="accent4"/>
      </w:tcPr>
    </w:tblStylePr>
    <w:tblStylePr w:type="lastRow">
      <w:pPr>
        <w:spacing w:before="0" w:after="0" w:line="240" w:lineRule="auto"/>
      </w:pPr>
      <w:rPr>
        <w:b/>
        <w:bCs/>
      </w:rPr>
      <w:tblPr/>
      <w:tcPr>
        <w:tcBorders>
          <w:top w:val="double" w:sz="6" w:space="0" w:color="009CA7" w:themeColor="accent4"/>
          <w:left w:val="single" w:sz="8" w:space="0" w:color="009CA7" w:themeColor="accent4"/>
          <w:bottom w:val="single" w:sz="8" w:space="0" w:color="009CA7" w:themeColor="accent4"/>
          <w:right w:val="single" w:sz="8" w:space="0" w:color="009CA7" w:themeColor="accent4"/>
        </w:tcBorders>
      </w:tcPr>
    </w:tblStylePr>
    <w:tblStylePr w:type="firstCol">
      <w:rPr>
        <w:b/>
        <w:bCs/>
      </w:rPr>
    </w:tblStylePr>
    <w:tblStylePr w:type="lastCol">
      <w:rPr>
        <w:b/>
        <w:bCs/>
      </w:rPr>
    </w:tblStylePr>
    <w:tblStylePr w:type="band1Vert">
      <w:tblPr/>
      <w:tcPr>
        <w:tcBorders>
          <w:top w:val="single" w:sz="8" w:space="0" w:color="009CA7" w:themeColor="accent4"/>
          <w:left w:val="single" w:sz="8" w:space="0" w:color="009CA7" w:themeColor="accent4"/>
          <w:bottom w:val="single" w:sz="8" w:space="0" w:color="009CA7" w:themeColor="accent4"/>
          <w:right w:val="single" w:sz="8" w:space="0" w:color="009CA7" w:themeColor="accent4"/>
        </w:tcBorders>
      </w:tcPr>
    </w:tblStylePr>
    <w:tblStylePr w:type="band1Horz">
      <w:tblPr/>
      <w:tcPr>
        <w:tcBorders>
          <w:top w:val="single" w:sz="8" w:space="0" w:color="009CA7" w:themeColor="accent4"/>
          <w:left w:val="single" w:sz="8" w:space="0" w:color="009CA7" w:themeColor="accent4"/>
          <w:bottom w:val="single" w:sz="8" w:space="0" w:color="009CA7" w:themeColor="accent4"/>
          <w:right w:val="single" w:sz="8" w:space="0" w:color="009CA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BAC7" w:themeColor="accent1"/>
        <w:left w:val="single" w:sz="8" w:space="0" w:color="00BAC7" w:themeColor="accent1"/>
        <w:bottom w:val="single" w:sz="8" w:space="0" w:color="00BAC7" w:themeColor="accent1"/>
        <w:right w:val="single" w:sz="8" w:space="0" w:color="00BAC7" w:themeColor="accent1"/>
      </w:tblBorders>
    </w:tblPr>
    <w:tblStylePr w:type="firstRow">
      <w:pPr>
        <w:spacing w:before="0" w:after="0" w:line="240" w:lineRule="auto"/>
      </w:pPr>
      <w:rPr>
        <w:b/>
        <w:bCs/>
        <w:color w:val="FFFFFF" w:themeColor="background1"/>
      </w:rPr>
      <w:tblPr/>
      <w:tcPr>
        <w:shd w:val="clear" w:color="auto" w:fill="00BAC7" w:themeFill="accent1"/>
      </w:tcPr>
    </w:tblStylePr>
    <w:tblStylePr w:type="lastRow">
      <w:pPr>
        <w:spacing w:before="0" w:after="0" w:line="240" w:lineRule="auto"/>
      </w:pPr>
      <w:rPr>
        <w:b/>
        <w:bCs/>
      </w:rPr>
      <w:tblPr/>
      <w:tcPr>
        <w:tcBorders>
          <w:top w:val="double" w:sz="6" w:space="0" w:color="00BAC7" w:themeColor="accent1"/>
          <w:left w:val="single" w:sz="8" w:space="0" w:color="00BAC7" w:themeColor="accent1"/>
          <w:bottom w:val="single" w:sz="8" w:space="0" w:color="00BAC7" w:themeColor="accent1"/>
          <w:right w:val="single" w:sz="8" w:space="0" w:color="00BAC7" w:themeColor="accent1"/>
        </w:tcBorders>
      </w:tcPr>
    </w:tblStylePr>
    <w:tblStylePr w:type="firstCol">
      <w:rPr>
        <w:b/>
        <w:bCs/>
      </w:rPr>
    </w:tblStylePr>
    <w:tblStylePr w:type="lastCol">
      <w:rPr>
        <w:b/>
        <w:bCs/>
      </w:rPr>
    </w:tblStylePr>
    <w:tblStylePr w:type="band1Vert">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tblStylePr w:type="band1Horz">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240614"/>
    <w:rPr>
      <w:color w:val="004C97"/>
      <w:u w:val="none"/>
    </w:rPr>
  </w:style>
  <w:style w:type="character" w:customStyle="1" w:styleId="Heading1Char">
    <w:name w:val="Heading 1 Char"/>
    <w:basedOn w:val="DefaultParagraphFont"/>
    <w:link w:val="Heading1"/>
    <w:rsid w:val="0096774E"/>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96774E"/>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6805B9"/>
    <w:pPr>
      <w:keepLines/>
      <w:spacing w:before="100" w:after="100" w:line="252" w:lineRule="auto"/>
      <w:contextualSpacing/>
    </w:pPr>
    <w:rPr>
      <w:rFonts w:eastAsia="Times New Roman" w:cs="Calibri"/>
      <w:color w:val="232B39" w:themeColor="text1"/>
      <w:sz w:val="18"/>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semiHidden/>
    <w:qFormat/>
    <w:rsid w:val="00BB660E"/>
    <w:pPr>
      <w:numPr>
        <w:ilvl w:val="2"/>
      </w:numPr>
      <w:spacing w:line="264" w:lineRule="auto"/>
    </w:pPr>
  </w:style>
  <w:style w:type="paragraph" w:customStyle="1" w:styleId="Heading1numbered">
    <w:name w:val="Heading 1 numbered"/>
    <w:basedOn w:val="Heading1"/>
    <w:next w:val="NormalIndent"/>
    <w:uiPriority w:val="8"/>
    <w:semiHidden/>
    <w:qFormat/>
    <w:rsid w:val="00522F8A"/>
    <w:pPr>
      <w:numPr>
        <w:ilvl w:val="2"/>
        <w:numId w:val="2"/>
      </w:numPr>
    </w:pPr>
  </w:style>
  <w:style w:type="paragraph" w:customStyle="1" w:styleId="Heading2numbered">
    <w:name w:val="Heading 2 numbered"/>
    <w:basedOn w:val="Heading2"/>
    <w:next w:val="NormalIndent"/>
    <w:uiPriority w:val="8"/>
    <w:semiHidden/>
    <w:qFormat/>
    <w:rsid w:val="00522F8A"/>
    <w:pPr>
      <w:numPr>
        <w:ilvl w:val="3"/>
        <w:numId w:val="2"/>
      </w:numPr>
    </w:pPr>
  </w:style>
  <w:style w:type="paragraph" w:customStyle="1" w:styleId="Heading3numbered">
    <w:name w:val="Heading 3 numbered"/>
    <w:basedOn w:val="Heading3"/>
    <w:next w:val="NormalIndent"/>
    <w:uiPriority w:val="8"/>
    <w:semiHidden/>
    <w:qFormat/>
    <w:rsid w:val="00522F8A"/>
    <w:pPr>
      <w:numPr>
        <w:ilvl w:val="4"/>
        <w:numId w:val="2"/>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2"/>
      </w:numPr>
    </w:pPr>
  </w:style>
  <w:style w:type="character" w:customStyle="1" w:styleId="Heading4Char">
    <w:name w:val="Heading 4 Char"/>
    <w:basedOn w:val="DefaultParagraphFont"/>
    <w:link w:val="Heading4"/>
    <w:semiHidden/>
    <w:rsid w:val="00491C72"/>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semiHidden/>
    <w:qFormat/>
    <w:rsid w:val="00BB660E"/>
    <w:pPr>
      <w:ind w:left="792"/>
    </w:pPr>
  </w:style>
  <w:style w:type="paragraph" w:customStyle="1" w:styleId="NoteNormal">
    <w:name w:val="Note Normal"/>
    <w:basedOn w:val="Normal"/>
    <w:qFormat/>
    <w:rsid w:val="00522F8A"/>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125514"/>
    <w:pPr>
      <w:shd w:val="clear" w:color="auto" w:fill="232B39" w:themeFill="text1"/>
      <w:spacing w:before="700" w:after="0" w:line="440" w:lineRule="exact"/>
      <w:ind w:right="4910"/>
      <w:jc w:val="right"/>
    </w:pPr>
    <w:rPr>
      <w:rFonts w:asciiTheme="majorHAnsi" w:eastAsia="Times New Roman" w:hAnsiTheme="majorHAnsi" w:cstheme="majorHAnsi"/>
      <w:caps/>
      <w:color w:val="FFFFFF" w:themeColor="background1"/>
      <w:sz w:val="27"/>
      <w:szCs w:val="27"/>
    </w:rPr>
  </w:style>
  <w:style w:type="character" w:customStyle="1" w:styleId="SubtitleChar">
    <w:name w:val="Subtitle Char"/>
    <w:basedOn w:val="DefaultParagraphFont"/>
    <w:link w:val="Subtitle"/>
    <w:uiPriority w:val="45"/>
    <w:rsid w:val="00125514"/>
    <w:rPr>
      <w:rFonts w:asciiTheme="majorHAnsi" w:eastAsia="Times New Roman" w:hAnsiTheme="majorHAnsi" w:cstheme="majorHAnsi"/>
      <w:caps/>
      <w:color w:val="FFFFFF" w:themeColor="background1"/>
      <w:sz w:val="27"/>
      <w:szCs w:val="27"/>
      <w:shd w:val="clear" w:color="auto" w:fill="232B39" w:themeFill="text1"/>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125514"/>
    <w:pPr>
      <w:shd w:val="clear" w:color="auto" w:fill="232B39" w:themeFill="text1"/>
      <w:spacing w:before="160" w:after="0" w:line="216" w:lineRule="auto"/>
      <w:ind w:left="446" w:right="4910"/>
      <w:jc w:val="right"/>
    </w:pPr>
    <w:rPr>
      <w:rFonts w:asciiTheme="majorHAnsi" w:eastAsia="Times New Roman" w:hAnsiTheme="majorHAnsi" w:cstheme="majorHAnsi"/>
      <w:b/>
      <w:color w:val="FFFFFF" w:themeColor="background1"/>
      <w:sz w:val="48"/>
      <w:szCs w:val="48"/>
    </w:rPr>
  </w:style>
  <w:style w:type="character" w:customStyle="1" w:styleId="TitleChar">
    <w:name w:val="Title Char"/>
    <w:basedOn w:val="DefaultParagraphFont"/>
    <w:link w:val="Title"/>
    <w:uiPriority w:val="44"/>
    <w:rsid w:val="00125514"/>
    <w:rPr>
      <w:rFonts w:asciiTheme="majorHAnsi" w:eastAsia="Times New Roman" w:hAnsiTheme="majorHAnsi" w:cstheme="majorHAnsi"/>
      <w:b/>
      <w:color w:val="FFFFFF" w:themeColor="background1"/>
      <w:sz w:val="48"/>
      <w:szCs w:val="48"/>
      <w:shd w:val="clear" w:color="auto" w:fill="232B39" w:themeFill="text1"/>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semiHidden/>
    <w:qFormat/>
    <w:rsid w:val="00BB660E"/>
    <w:p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Cs w:val="18"/>
    </w:rPr>
  </w:style>
  <w:style w:type="character" w:customStyle="1" w:styleId="FooterChar">
    <w:name w:val="Footer Char"/>
    <w:basedOn w:val="DefaultParagraphFont"/>
    <w:link w:val="Footer"/>
    <w:uiPriority w:val="99"/>
    <w:semiHidden/>
    <w:rsid w:val="00491C72"/>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71D9E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A6E7EB" w:themeFill="background2"/>
      </w:tcPr>
    </w:tblStylePr>
    <w:tblStylePr w:type="lastRow">
      <w:rPr>
        <w:b/>
      </w:rPr>
      <w:tblPr/>
      <w:tcPr>
        <w:tcBorders>
          <w:top w:val="single" w:sz="6" w:space="0" w:color="71D9E0" w:themeColor="accent2"/>
          <w:left w:val="nil"/>
          <w:bottom w:val="single" w:sz="12" w:space="0" w:color="71D9E0"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71D9E0"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A6E7EB" w:themeFill="background2"/>
      </w:tcPr>
    </w:tblStylePr>
    <w:tblStylePr w:type="lastRow">
      <w:rPr>
        <w:b/>
      </w:rPr>
      <w:tblPr/>
      <w:tcPr>
        <w:tcBorders>
          <w:top w:val="single" w:sz="6" w:space="0" w:color="00BAC7" w:themeColor="accent1"/>
          <w:left w:val="nil"/>
          <w:bottom w:val="single" w:sz="12" w:space="0" w:color="00BAC7"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semiHidden/>
    <w:qFormat/>
    <w:rsid w:val="00522F8A"/>
    <w:pPr>
      <w:numPr>
        <w:ilvl w:val="7"/>
        <w:numId w:val="2"/>
      </w:numPr>
      <w:spacing w:before="100"/>
      <w:contextualSpacing/>
    </w:pPr>
  </w:style>
  <w:style w:type="paragraph" w:customStyle="1" w:styleId="Listnumindent">
    <w:name w:val="List num indent"/>
    <w:basedOn w:val="Normal"/>
    <w:uiPriority w:val="9"/>
    <w:semiHidden/>
    <w:qFormat/>
    <w:rsid w:val="00522F8A"/>
    <w:pPr>
      <w:numPr>
        <w:ilvl w:val="6"/>
        <w:numId w:val="2"/>
      </w:numPr>
      <w:spacing w:before="100"/>
    </w:pPr>
  </w:style>
  <w:style w:type="paragraph" w:customStyle="1" w:styleId="Listnum">
    <w:name w:val="List num"/>
    <w:basedOn w:val="Normal"/>
    <w:uiPriority w:val="2"/>
    <w:qFormat/>
    <w:rsid w:val="00522F8A"/>
    <w:pPr>
      <w:numPr>
        <w:numId w:val="2"/>
      </w:numPr>
    </w:pPr>
  </w:style>
  <w:style w:type="paragraph" w:customStyle="1" w:styleId="Listnum2">
    <w:name w:val="List num 2"/>
    <w:basedOn w:val="Normal"/>
    <w:uiPriority w:val="2"/>
    <w:qFormat/>
    <w:rsid w:val="00522F8A"/>
    <w:pPr>
      <w:numPr>
        <w:ilvl w:val="1"/>
        <w:numId w:val="2"/>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3"/>
      </w:numPr>
    </w:pPr>
  </w:style>
  <w:style w:type="paragraph" w:customStyle="1" w:styleId="Tabledash">
    <w:name w:val="Table dash"/>
    <w:basedOn w:val="Tablebullet"/>
    <w:uiPriority w:val="6"/>
    <w:rsid w:val="00522F8A"/>
    <w:pPr>
      <w:numPr>
        <w:ilvl w:val="1"/>
      </w:numPr>
    </w:pPr>
  </w:style>
  <w:style w:type="paragraph" w:customStyle="1" w:styleId="Numpara">
    <w:name w:val="Num para"/>
    <w:basedOn w:val="ListParagraph"/>
    <w:uiPriority w:val="2"/>
    <w:qFormat/>
    <w:rsid w:val="00522F8A"/>
    <w:pPr>
      <w:numPr>
        <w:numId w:val="1"/>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paragraph" w:customStyle="1" w:styleId="Numparaindent">
    <w:name w:val="Num para indent"/>
    <w:basedOn w:val="Numpara"/>
    <w:uiPriority w:val="9"/>
    <w:semiHidden/>
    <w:qFormat/>
    <w:rsid w:val="00522F8A"/>
    <w:pPr>
      <w:numPr>
        <w:ilvl w:val="8"/>
        <w:numId w:val="2"/>
      </w:numPr>
      <w:tabs>
        <w:tab w:val="clear" w:pos="540"/>
      </w:tabs>
    </w:pPr>
  </w:style>
  <w:style w:type="paragraph" w:customStyle="1" w:styleId="Tablenum1">
    <w:name w:val="Table num 1"/>
    <w:basedOn w:val="Normal"/>
    <w:uiPriority w:val="6"/>
    <w:rsid w:val="00522F8A"/>
    <w:pPr>
      <w:numPr>
        <w:ilvl w:val="2"/>
        <w:numId w:val="3"/>
      </w:numPr>
      <w:spacing w:before="60" w:after="60"/>
    </w:pPr>
    <w:rPr>
      <w:sz w:val="17"/>
    </w:rPr>
  </w:style>
  <w:style w:type="paragraph" w:customStyle="1" w:styleId="Tablenum2">
    <w:name w:val="Table num 2"/>
    <w:basedOn w:val="Normal"/>
    <w:uiPriority w:val="6"/>
    <w:rsid w:val="00522F8A"/>
    <w:pPr>
      <w:numPr>
        <w:ilvl w:val="3"/>
        <w:numId w:val="3"/>
      </w:numPr>
      <w:spacing w:before="60" w:after="60"/>
    </w:pPr>
    <w:rPr>
      <w:sz w:val="17"/>
    </w:rPr>
  </w:style>
  <w:style w:type="paragraph" w:customStyle="1" w:styleId="NoteNormalindent">
    <w:name w:val="Note Normal indent"/>
    <w:basedOn w:val="NoteNormal"/>
    <w:uiPriority w:val="9"/>
    <w:semiHidden/>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Cs w:val="18"/>
    </w:rPr>
  </w:style>
  <w:style w:type="paragraph" w:customStyle="1" w:styleId="CM">
    <w:name w:val="CM"/>
    <w:next w:val="Normal"/>
    <w:uiPriority w:val="79"/>
    <w:rsid w:val="005129A3"/>
    <w:pPr>
      <w:spacing w:after="2000" w:line="240" w:lineRule="auto"/>
      <w:ind w:right="4910"/>
      <w:jc w:val="right"/>
    </w:pPr>
    <w:rPr>
      <w:caps/>
      <w:color w:val="FFFFFF" w:themeColor="background1"/>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491C72"/>
    <w:rPr>
      <w:rFonts w:asciiTheme="majorHAnsi" w:eastAsiaTheme="majorEastAsia" w:hAnsiTheme="majorHAnsi" w:cstheme="majorBidi"/>
      <w:color w:val="3A3467" w:themeColor="text2"/>
      <w:sz w:val="18"/>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6805B9"/>
    <w:pPr>
      <w:pBdr>
        <w:top w:val="single" w:sz="12" w:space="6" w:color="A6E7EB" w:themeColor="background2"/>
        <w:bottom w:val="single" w:sz="12" w:space="4" w:color="A6E7EB" w:themeColor="background2"/>
      </w:pBdr>
      <w:tabs>
        <w:tab w:val="right" w:pos="8162"/>
      </w:tabs>
      <w:spacing w:before="200" w:after="200" w:line="288" w:lineRule="auto"/>
      <w:ind w:left="720" w:right="864"/>
    </w:pPr>
    <w:rPr>
      <w:i/>
      <w:iCs/>
      <w:szCs w:val="18"/>
    </w:rPr>
  </w:style>
  <w:style w:type="character" w:customStyle="1" w:styleId="QuoteChar">
    <w:name w:val="Quote Char"/>
    <w:basedOn w:val="DefaultParagraphFont"/>
    <w:link w:val="Quote"/>
    <w:uiPriority w:val="14"/>
    <w:rsid w:val="006805B9"/>
    <w:rPr>
      <w:i/>
      <w:iCs/>
      <w:color w:val="232B39" w:themeColor="text1"/>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6783">
      <w:bodyDiv w:val="1"/>
      <w:marLeft w:val="0"/>
      <w:marRight w:val="0"/>
      <w:marTop w:val="0"/>
      <w:marBottom w:val="0"/>
      <w:divBdr>
        <w:top w:val="none" w:sz="0" w:space="0" w:color="auto"/>
        <w:left w:val="none" w:sz="0" w:space="0" w:color="auto"/>
        <w:bottom w:val="none" w:sz="0" w:space="0" w:color="auto"/>
        <w:right w:val="none" w:sz="0" w:space="0" w:color="auto"/>
      </w:divBdr>
    </w:div>
    <w:div w:id="466356383">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dtf.vic.gov.au/infrastructure-investment/construction-supplier-register" TargetMode="External"/><Relationship Id="rId26" Type="http://schemas.openxmlformats.org/officeDocument/2006/relationships/hyperlink" Target="https://ablis.business.gov.au/service/vic/professional-engineers-registration/45074" TargetMode="External"/><Relationship Id="rId3" Type="http://schemas.openxmlformats.org/officeDocument/2006/relationships/numbering" Target="numbering.xml"/><Relationship Id="rId21" Type="http://schemas.openxmlformats.org/officeDocument/2006/relationships/hyperlink" Target="https://www.dtf.vic.gov.au/infrastructure-investment/construction-supplier-registe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nsumer.vic.gov.au/licensing-and-registration/professional-engineers/professional-conduct" TargetMode="External"/><Relationship Id="rId25" Type="http://schemas.openxmlformats.org/officeDocument/2006/relationships/hyperlink" Target="https://engage.vic.gov.au/engineers-registration" TargetMode="External"/><Relationship Id="rId2" Type="http://schemas.openxmlformats.org/officeDocument/2006/relationships/customXml" Target="../customXml/item2.xml"/><Relationship Id="rId16" Type="http://schemas.openxmlformats.org/officeDocument/2006/relationships/hyperlink" Target="https://www.legislation.vic.gov.au/in-force/acts/building-act-1993/135" TargetMode="External"/><Relationship Id="rId20" Type="http://schemas.openxmlformats.org/officeDocument/2006/relationships/hyperlink" Target="https://www.consumer.vic.gov.au/latest-news/email-upda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opv.vic.gov.au/Home" TargetMode="External"/><Relationship Id="rId5" Type="http://schemas.openxmlformats.org/officeDocument/2006/relationships/settings" Target="settings.xml"/><Relationship Id="rId15" Type="http://schemas.openxmlformats.org/officeDocument/2006/relationships/hyperlink" Target="https://www.legislation.vic.gov.au/in-force/acts/professional-engineers-registration-act-2019/002" TargetMode="External"/><Relationship Id="rId23" Type="http://schemas.openxmlformats.org/officeDocument/2006/relationships/hyperlink" Target="https://registers.consumer.vic.gov.au/PEsearch"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consumer.vic.gov.au/licensing-and-registration/professional-engineers/professional-conduc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onsumer.vic.gov.au/licensing-and-registration/professional-engineers/overview-and-timeline"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Fact%20sheet.dotm" TargetMode="External"/></Relationships>
</file>

<file path=word/theme/theme1.xml><?xml version="1.0" encoding="utf-8"?>
<a:theme xmlns:a="http://schemas.openxmlformats.org/drawingml/2006/main" name="Office Theme">
  <a:themeElements>
    <a:clrScheme name="DTF Teal">
      <a:dk1>
        <a:srgbClr val="232B39"/>
      </a:dk1>
      <a:lt1>
        <a:sysClr val="window" lastClr="FFFFFF"/>
      </a:lt1>
      <a:dk2>
        <a:srgbClr val="3A3467"/>
      </a:dk2>
      <a:lt2>
        <a:srgbClr val="A6E7EB"/>
      </a:lt2>
      <a:accent1>
        <a:srgbClr val="00BAC7"/>
      </a:accent1>
      <a:accent2>
        <a:srgbClr val="71D9E0"/>
      </a:accent2>
      <a:accent3>
        <a:srgbClr val="4C9E61"/>
      </a:accent3>
      <a:accent4>
        <a:srgbClr val="009CA7"/>
      </a:accent4>
      <a:accent5>
        <a:srgbClr val="D3D5D7"/>
      </a:accent5>
      <a:accent6>
        <a:srgbClr val="F6884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D2BDAD3-6C26-4570-9B53-FA9DFE8FCDD7}">
  <ds:schemaRefs>
    <ds:schemaRef ds:uri="http://schemas.openxmlformats.org/officeDocument/2006/bibliography"/>
  </ds:schemaRefs>
</ds:datastoreItem>
</file>

<file path=customXml/itemProps2.xml><?xml version="1.0" encoding="utf-8"?>
<ds:datastoreItem xmlns:ds="http://schemas.openxmlformats.org/officeDocument/2006/customXml" ds:itemID="{65BF9D5D-9577-4773-8D03-A5BCBC19456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Fact sheet.dotm</Template>
  <TotalTime>25</TotalTime>
  <Pages>3</Pages>
  <Words>1237</Words>
  <Characters>7053</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Pulikkottil (DTF)</dc:creator>
  <cp:lastModifiedBy>Sarah Black (DTF)</cp:lastModifiedBy>
  <cp:revision>3</cp:revision>
  <cp:lastPrinted>2016-02-09T01:59:00Z</cp:lastPrinted>
  <dcterms:created xsi:type="dcterms:W3CDTF">2023-01-30T22:51:00Z</dcterms:created>
  <dcterms:modified xsi:type="dcterms:W3CDTF">2023-01-30T23:44:00Z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2023-01-30T23:44:08Z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3a93546f-c805-40cd-a29a-70f4eb0ef7e4</vt:lpwstr>
  </property>
  <property fmtid="{D5CDD505-2E9C-101B-9397-08002B2CF9AE}" pid="10" name="MSIP_Label_7158ebbd-6c5e-441f-bfc9-4eb8c11e3978_ContentBits">
    <vt:lpwstr>2</vt:lpwstr>
  </property>
</Properties>
</file>