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DD0A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>Fa</w:t>
      </w:r>
      <w:r w:rsidR="00524307">
        <w:rPr>
          <w:lang w:eastAsia="en-US"/>
        </w:rPr>
        <w:t>ct sheet – Thresholds applying to</w:t>
      </w:r>
      <w:r w:rsidR="00524307">
        <w:rPr>
          <w:lang w:eastAsia="en-US"/>
        </w:rPr>
        <w:br/>
        <w:t>p</w:t>
      </w:r>
      <w:r>
        <w:rPr>
          <w:lang w:eastAsia="en-US"/>
        </w:rPr>
        <w:t xml:space="preserve">ublic </w:t>
      </w:r>
      <w:r w:rsidR="00524307">
        <w:rPr>
          <w:lang w:eastAsia="en-US"/>
        </w:rPr>
        <w:t>c</w:t>
      </w:r>
      <w:r>
        <w:rPr>
          <w:lang w:eastAsia="en-US"/>
        </w:rPr>
        <w:t xml:space="preserve">onstruction </w:t>
      </w:r>
      <w:r w:rsidR="00524307">
        <w:rPr>
          <w:lang w:eastAsia="en-US"/>
        </w:rPr>
        <w:t>p</w:t>
      </w:r>
      <w:r>
        <w:rPr>
          <w:lang w:eastAsia="en-US"/>
        </w:rPr>
        <w:t>rocurement</w:t>
      </w:r>
      <w:r w:rsidR="00524307">
        <w:rPr>
          <w:lang w:eastAsia="en-US"/>
        </w:rPr>
        <w:t xml:space="preserve"> (Quick guide)</w:t>
      </w:r>
    </w:p>
    <w:p w14:paraId="53977144" w14:textId="713D2A10" w:rsidR="00C52D92" w:rsidRDefault="00C52D92" w:rsidP="00830543">
      <w:pPr>
        <w:spacing w:before="240"/>
      </w:pPr>
      <w:r>
        <w:t xml:space="preserve">This fact sheet summarises provisions in the </w:t>
      </w:r>
      <w:hyperlink r:id="rId12" w:history="1">
        <w:r w:rsidRPr="002468F7">
          <w:rPr>
            <w:rStyle w:val="Hyperlink"/>
          </w:rPr>
          <w:t>Ministerial Directions and the Instructions for Public Construction Procurement</w:t>
        </w:r>
      </w:hyperlink>
      <w:r>
        <w:t xml:space="preserve"> that are threshold based.</w:t>
      </w:r>
    </w:p>
    <w:p w14:paraId="73E11E0F" w14:textId="77777777" w:rsidR="00524307" w:rsidRDefault="00524307" w:rsidP="00524307">
      <w:pPr>
        <w:spacing w:before="0"/>
      </w:pPr>
      <w:r>
        <w:t>Separate lists are presented for Works and Construction Services.</w:t>
      </w:r>
    </w:p>
    <w:p w14:paraId="1E4B15EB" w14:textId="77777777" w:rsidR="00524307" w:rsidRPr="00524307" w:rsidRDefault="00524307" w:rsidP="00524307">
      <w:r w:rsidRPr="00524307">
        <w:t>Notes:</w:t>
      </w:r>
    </w:p>
    <w:p w14:paraId="4194A493" w14:textId="77777777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7E7A6AD3" w14:textId="528390DC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0D116C">
        <w:t xml:space="preserve">a </w:t>
      </w:r>
      <w:r>
        <w:t>monetary threshold. The Ministerial Directions and Instruction may contain provisions that allow alternative processes, subject to approval, to be followed.</w:t>
      </w:r>
    </w:p>
    <w:p w14:paraId="39610F2C" w14:textId="1C593B3D" w:rsidR="00524307" w:rsidRDefault="00524307" w:rsidP="00524307">
      <w:pPr>
        <w:pStyle w:val="ListParagraph"/>
        <w:numPr>
          <w:ilvl w:val="0"/>
          <w:numId w:val="11"/>
        </w:numPr>
        <w:ind w:left="426" w:hanging="426"/>
      </w:pPr>
      <w:r>
        <w:t>The Ministerial Directions and Instructions contain other provisions that are not th</w:t>
      </w:r>
      <w:r w:rsidR="00F56022">
        <w:t xml:space="preserve">reshold based. </w:t>
      </w:r>
      <w:r w:rsidR="000D116C">
        <w:t xml:space="preserve">Agencies </w:t>
      </w:r>
      <w:r>
        <w:t>must address all of the requirements in the Ministerial Directions and Instructions when undertaking public construction procurement.</w:t>
      </w:r>
    </w:p>
    <w:p w14:paraId="132B71EB" w14:textId="77777777" w:rsidR="00F470BD" w:rsidRDefault="00F470BD" w:rsidP="006E2BB9">
      <w:pPr>
        <w:pStyle w:val="Heading2"/>
        <w:spacing w:before="240" w:after="120"/>
        <w:rPr>
          <w:lang w:eastAsia="en-US"/>
        </w:rPr>
      </w:pPr>
      <w:r>
        <w:rPr>
          <w:lang w:eastAsia="en-US"/>
        </w:rPr>
        <w:t>Help and support</w:t>
      </w:r>
    </w:p>
    <w:p w14:paraId="04BE039D" w14:textId="3763A53E" w:rsidR="00F470BD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contact the Construction Policy Team on 03 </w:t>
      </w:r>
      <w:r w:rsidR="000D116C">
        <w:rPr>
          <w:rFonts w:cstheme="minorHAnsi"/>
          <w:color w:val="000000"/>
          <w:szCs w:val="21"/>
        </w:rPr>
        <w:t>7005 9</w:t>
      </w:r>
      <w:r w:rsidR="00514EEA">
        <w:rPr>
          <w:rFonts w:cstheme="minorHAnsi"/>
          <w:color w:val="000000"/>
          <w:szCs w:val="21"/>
        </w:rPr>
        <w:t>533</w:t>
      </w:r>
      <w:r w:rsidRPr="00A64298">
        <w:rPr>
          <w:rFonts w:cstheme="minorHAnsi"/>
          <w:color w:val="000000"/>
          <w:szCs w:val="21"/>
        </w:rPr>
        <w:t xml:space="preserve"> or by email: </w:t>
      </w:r>
      <w:hyperlink r:id="rId13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512CCAAC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</w:tcPr>
          <w:p w14:paraId="180D4C17" w14:textId="77777777" w:rsidR="005345B7" w:rsidRPr="00C63C8B" w:rsidRDefault="005345B7" w:rsidP="0061284B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bookmarkStart w:id="1" w:name="_Toc442780674"/>
            <w:r w:rsidRPr="00C63C8B">
              <w:rPr>
                <w:b/>
                <w:sz w:val="24"/>
                <w:szCs w:val="24"/>
              </w:rPr>
              <w:t>Works</w:t>
            </w:r>
          </w:p>
        </w:tc>
      </w:tr>
      <w:tr w:rsidR="00A902A7" w:rsidRPr="007468BD" w14:paraId="131E8623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hideMark/>
          </w:tcPr>
          <w:p w14:paraId="3E680ACA" w14:textId="77777777" w:rsidR="00A902A7" w:rsidRPr="007468BD" w:rsidRDefault="00A902A7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</w:t>
            </w:r>
            <w:r w:rsidR="007B7DBD">
              <w:rPr>
                <w:b/>
                <w:sz w:val="18"/>
                <w:szCs w:val="18"/>
              </w:rPr>
              <w:t xml:space="preserve"> </w:t>
            </w:r>
            <w:r w:rsidR="007B7DBD">
              <w:rPr>
                <w:b/>
                <w:sz w:val="18"/>
                <w:szCs w:val="18"/>
              </w:rPr>
              <w:br/>
              <w:t xml:space="preserve">unless </w:t>
            </w:r>
            <w:r w:rsidR="00413FAE">
              <w:rPr>
                <w:b/>
                <w:sz w:val="18"/>
                <w:szCs w:val="18"/>
              </w:rPr>
              <w:t xml:space="preserve">otherwise </w:t>
            </w:r>
            <w:r w:rsidR="007B7DBD">
              <w:rPr>
                <w:b/>
                <w:sz w:val="18"/>
                <w:szCs w:val="18"/>
              </w:rPr>
              <w:t>stated</w:t>
            </w:r>
            <w:r w:rsidRPr="007468B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hideMark/>
          </w:tcPr>
          <w:p w14:paraId="3872CD36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hideMark/>
          </w:tcPr>
          <w:p w14:paraId="273764B0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5345B7" w:rsidRPr="007468BD" w14:paraId="0C46B1D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50CAA29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E89846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32683CD" w14:textId="77777777" w:rsidR="005345B7" w:rsidRPr="007468BD" w:rsidRDefault="00CC0F32" w:rsidP="007454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provisions apply </w:t>
            </w:r>
            <w:r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279B4F87" w14:textId="77777777" w:rsidR="005345B7" w:rsidRPr="007468BD" w:rsidRDefault="00763A61" w:rsidP="004D314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="007454CB" w:rsidRPr="002468F7">
                <w:rPr>
                  <w:rStyle w:val="Hyperlink"/>
                  <w:sz w:val="18"/>
                  <w:szCs w:val="18"/>
                </w:rPr>
                <w:t>Complying with the Australia New Zealand Government Procurement Agreement (</w:t>
              </w:r>
              <w:r w:rsidR="005345B7" w:rsidRPr="002468F7">
                <w:rPr>
                  <w:rStyle w:val="Hyperlink"/>
                  <w:sz w:val="18"/>
                  <w:szCs w:val="18"/>
                </w:rPr>
                <w:t>Instruction 2.2</w:t>
              </w:r>
              <w:r w:rsidR="007454CB" w:rsidRPr="002468F7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5345B7" w:rsidRPr="007468BD" w14:paraId="4DD822D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1E0CC" w14:textId="7581688F" w:rsidR="005345B7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5345B7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B9BB77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D599766" w14:textId="77777777" w:rsidR="005345B7" w:rsidRPr="007468BD" w:rsidRDefault="00DA4314" w:rsidP="00DA431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</w:t>
            </w:r>
            <w:r w:rsidR="005345B7" w:rsidRPr="007468BD">
              <w:rPr>
                <w:sz w:val="18"/>
                <w:szCs w:val="18"/>
              </w:rPr>
              <w:t>nvite</w:t>
            </w:r>
            <w:r>
              <w:rPr>
                <w:sz w:val="18"/>
                <w:szCs w:val="18"/>
              </w:rPr>
              <w:t xml:space="preserve"> one</w:t>
            </w:r>
            <w:r w:rsidR="005345B7" w:rsidRPr="007468BD">
              <w:rPr>
                <w:sz w:val="18"/>
                <w:szCs w:val="18"/>
              </w:rPr>
              <w:t xml:space="preserve"> potential tender participant to participate in a Limited Tender</w:t>
            </w:r>
          </w:p>
        </w:tc>
        <w:tc>
          <w:tcPr>
            <w:tcW w:w="3118" w:type="dxa"/>
          </w:tcPr>
          <w:p w14:paraId="211215B9" w14:textId="77777777" w:rsidR="005345B7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5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7468BD" w:rsidRPr="007468BD" w14:paraId="034B4187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7BC5FC6" w14:textId="4B393FEC" w:rsidR="007468BD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B32372" w14:textId="10367D80" w:rsidR="007468BD" w:rsidRPr="007468BD" w:rsidRDefault="007468BD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at or above and below </w:t>
            </w:r>
            <w:r w:rsidR="007D6C30" w:rsidRPr="59713044">
              <w:rPr>
                <w:sz w:val="18"/>
                <w:szCs w:val="18"/>
              </w:rPr>
              <w:t>750</w:t>
            </w:r>
            <w:r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3544" w:type="dxa"/>
          </w:tcPr>
          <w:p w14:paraId="43639146" w14:textId="77777777" w:rsidR="007468BD" w:rsidRPr="007468BD" w:rsidRDefault="00021BFF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</w:tcPr>
          <w:p w14:paraId="5DC9017F" w14:textId="77777777" w:rsidR="007468BD" w:rsidRPr="007468BD" w:rsidRDefault="00763A61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6" w:history="1">
              <w:r w:rsidR="007468BD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5345B7" w:rsidRPr="007468BD" w14:paraId="50399993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91D8A18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D47A172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0098461" w14:textId="193B52C7" w:rsidR="005345B7" w:rsidRPr="007468BD" w:rsidRDefault="00952445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Disclose </w:t>
            </w:r>
            <w:r w:rsidR="005345B7" w:rsidRPr="007468BD">
              <w:rPr>
                <w:sz w:val="18"/>
                <w:szCs w:val="18"/>
              </w:rPr>
              <w:t>summary details of procurement undertaken</w:t>
            </w:r>
          </w:p>
        </w:tc>
        <w:tc>
          <w:tcPr>
            <w:tcW w:w="3118" w:type="dxa"/>
          </w:tcPr>
          <w:p w14:paraId="482861B8" w14:textId="77777777" w:rsidR="005345B7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7" w:history="1">
              <w:r w:rsidR="00A503AE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5345B7" w:rsidRPr="007468BD" w14:paraId="0E5DDF7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CC56C0D" w14:textId="4FB53519" w:rsidR="005345B7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750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CCF0BC8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E03E86C" w14:textId="77777777" w:rsidR="00021BFF" w:rsidRPr="00021BFF" w:rsidRDefault="00021BFF" w:rsidP="00021BF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Invite:</w:t>
            </w:r>
          </w:p>
          <w:p w14:paraId="36F85F3C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716A5F21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</w:t>
            </w:r>
          </w:p>
        </w:tc>
        <w:tc>
          <w:tcPr>
            <w:tcW w:w="3118" w:type="dxa"/>
          </w:tcPr>
          <w:p w14:paraId="18D06921" w14:textId="77777777" w:rsidR="005345B7" w:rsidRPr="007468BD" w:rsidRDefault="00763A61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8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5345B7" w:rsidRPr="007468BD" w14:paraId="4B080E8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51E4B1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ABF30B1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E9AF70E" w14:textId="56E9121E" w:rsidR="005345B7" w:rsidRPr="008D758C" w:rsidRDefault="00021BFF" w:rsidP="008D758C">
            <w:pPr>
              <w:spacing w:before="60" w:after="60"/>
              <w:ind w:left="3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5345B7" w:rsidRPr="007468BD">
              <w:rPr>
                <w:sz w:val="18"/>
                <w:szCs w:val="18"/>
              </w:rPr>
              <w:t>orward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="005345B7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A0488FC" w14:textId="77777777" w:rsidR="005345B7" w:rsidRPr="007468BD" w:rsidRDefault="00763A61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="00FE73E4" w:rsidRPr="002468F7">
                <w:rPr>
                  <w:rStyle w:val="Hyperlink"/>
                  <w:sz w:val="18"/>
                  <w:szCs w:val="18"/>
                </w:rPr>
                <w:t>Forward notices (Instruction 5.1)</w:t>
              </w:r>
            </w:hyperlink>
          </w:p>
        </w:tc>
      </w:tr>
      <w:tr w:rsidR="005345B7" w:rsidRPr="007468BD" w14:paraId="4D3A942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228DD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865544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4C3883F" w14:textId="21ED9D6C" w:rsidR="005345B7" w:rsidRPr="008D758C" w:rsidRDefault="005345B7" w:rsidP="008D758C">
            <w:pPr>
              <w:spacing w:before="60" w:after="6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5C4E91C2" w14:textId="77777777" w:rsidR="005345B7" w:rsidRPr="007468BD" w:rsidRDefault="00763A61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0" w:history="1">
              <w:r w:rsidR="00A503AE" w:rsidRPr="00FE73E4">
                <w:rPr>
                  <w:rStyle w:val="Hyperlink"/>
                  <w:sz w:val="18"/>
                  <w:szCs w:val="18"/>
                </w:rPr>
                <w:t>Tender Notices (</w:t>
              </w:r>
              <w:r w:rsidR="0061284B" w:rsidRPr="00FE73E4">
                <w:rPr>
                  <w:rStyle w:val="Hyperlink"/>
                  <w:sz w:val="18"/>
                  <w:szCs w:val="18"/>
                </w:rPr>
                <w:t>Instruction 3.4</w:t>
              </w:r>
              <w:r w:rsidR="00A503AE" w:rsidRPr="00FE73E4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61284B" w:rsidRPr="007468BD" w14:paraId="27B43852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B523305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7C3003" w14:textId="50EEB62A" w:rsidR="006E2BB9" w:rsidRPr="006E2BB9" w:rsidRDefault="0061284B" w:rsidP="006E2BB9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664AE430" w14:textId="77777777" w:rsidR="0061284B" w:rsidRPr="007468BD" w:rsidRDefault="00021BFF" w:rsidP="00021BF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2210470" w14:textId="77777777" w:rsidR="0061284B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="00A503AE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61284B" w:rsidRPr="007468BD" w14:paraId="0289D2C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7E17064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EA1748F" w14:textId="698AF310" w:rsidR="00E453AD" w:rsidRPr="00E453AD" w:rsidRDefault="0061284B" w:rsidP="00E453AD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3016FB0" w14:textId="77777777" w:rsidR="0061284B" w:rsidRPr="007468BD" w:rsidRDefault="00021BFF" w:rsidP="0061284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IR management apply</w:t>
            </w:r>
          </w:p>
        </w:tc>
        <w:tc>
          <w:tcPr>
            <w:tcW w:w="3118" w:type="dxa"/>
          </w:tcPr>
          <w:p w14:paraId="69266F54" w14:textId="77777777" w:rsidR="0061284B" w:rsidRPr="007468BD" w:rsidRDefault="00763A61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2" w:history="1">
              <w:r w:rsidR="00FE73E4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E377FE" w:rsidRPr="00E377FE" w14:paraId="271A279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C688817" w14:textId="77777777" w:rsidR="00E377FE" w:rsidRPr="007468BD" w:rsidRDefault="00E377FE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139CC19" w14:textId="77777777" w:rsidR="00E377FE" w:rsidRPr="007468BD" w:rsidRDefault="00E377FE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157C1A9" w14:textId="77777777" w:rsidR="00E377FE" w:rsidRPr="007468BD" w:rsidRDefault="007C7ECF" w:rsidP="007C7EC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>
              <w:rPr>
                <w:sz w:val="18"/>
                <w:szCs w:val="18"/>
              </w:rPr>
              <w:t>applies to</w:t>
            </w:r>
            <w:r w:rsidRPr="00E37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</w:t>
            </w:r>
            <w:r w:rsidRPr="00E377FE">
              <w:rPr>
                <w:sz w:val="18"/>
                <w:szCs w:val="18"/>
              </w:rPr>
              <w:t xml:space="preserve"> starting </w:t>
            </w:r>
            <w:r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0EAD3D6D" w14:textId="02FD0C36" w:rsidR="00E377FE" w:rsidRPr="007468BD" w:rsidRDefault="00763A61" w:rsidP="00DA4314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3" w:history="1">
              <w:r w:rsidR="00E377FE" w:rsidRPr="00FE73E4">
                <w:rPr>
                  <w:rStyle w:val="Hyperlink"/>
                  <w:sz w:val="18"/>
                  <w:szCs w:val="18"/>
                </w:rPr>
                <w:t>Supplier performance and shared reporting requirements (Instruction</w:t>
              </w:r>
              <w:r w:rsidR="00830543">
                <w:rPr>
                  <w:rStyle w:val="Hyperlink"/>
                  <w:sz w:val="18"/>
                  <w:szCs w:val="18"/>
                </w:rPr>
                <w:t> </w:t>
              </w:r>
              <w:r w:rsidR="00E377FE"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021BFF" w:rsidRPr="007468BD" w14:paraId="115FADC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316D66AE" w14:textId="77777777" w:rsidR="00021BFF" w:rsidRPr="007468BD" w:rsidRDefault="00021BFF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1,000,000</w:t>
            </w:r>
            <w:r w:rsidR="00413FAE">
              <w:rPr>
                <w:sz w:val="18"/>
                <w:szCs w:val="18"/>
              </w:rPr>
              <w:br/>
              <w:t>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D08FC19" w14:textId="77777777" w:rsidR="00021BFF" w:rsidRPr="007468BD" w:rsidRDefault="00021BFF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CBC3195" w14:textId="75490D25" w:rsidR="00021BFF" w:rsidRPr="007468BD" w:rsidRDefault="00021BFF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0AC70D8E" w14:textId="77777777" w:rsidR="00021BFF" w:rsidRPr="007468BD" w:rsidRDefault="00763A61" w:rsidP="00021BFF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4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345B7" w:rsidRPr="007468BD" w14:paraId="6C8373AC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E9A265A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ABDFEA0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5DDEEE2" w14:textId="6602E785" w:rsidR="005345B7" w:rsidRPr="007468BD" w:rsidRDefault="00413FAE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345B7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345B7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345B7" w:rsidRPr="007468BD">
              <w:rPr>
                <w:sz w:val="18"/>
                <w:szCs w:val="18"/>
              </w:rPr>
              <w:t xml:space="preserve"> 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2E2214C4" w14:textId="77777777" w:rsidR="005345B7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5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54C2711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9F990D6" w14:textId="77777777" w:rsidR="003A042B" w:rsidRDefault="003A042B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6362541" w14:textId="5C73D3A6" w:rsidR="003A042B" w:rsidRDefault="003A042B" w:rsidP="00566D74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566D74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63FFB57" w14:textId="6AF66642" w:rsidR="003A042B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7F9A1271" w14:textId="77777777" w:rsidR="003A042B" w:rsidRPr="007468BD" w:rsidRDefault="00763A61" w:rsidP="003A042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6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63603CA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32BCE6F" w14:textId="77777777" w:rsidR="005944B1" w:rsidRDefault="005944B1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9B57C9" w14:textId="5C78AFE3" w:rsidR="005944B1" w:rsidRPr="007468BD" w:rsidRDefault="005944B1" w:rsidP="59713044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46CDFC7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tenderers must hold a Fair Jobs Code Pre-Assessment Certificate</w:t>
            </w:r>
          </w:p>
          <w:p w14:paraId="335C759E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C837D3C" w14:textId="2F65B637" w:rsidR="005944B1" w:rsidRPr="00413FAE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Fair Jobs Code – Significant Subcontractors tendering for subcontracts (of this value range) </w:t>
            </w:r>
          </w:p>
        </w:tc>
        <w:tc>
          <w:tcPr>
            <w:tcW w:w="3118" w:type="dxa"/>
          </w:tcPr>
          <w:p w14:paraId="7B6817A6" w14:textId="2EA2152B" w:rsidR="005944B1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Pr="5971304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4B57241E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793288" w14:textId="77777777" w:rsidR="003A042B" w:rsidRPr="007468BD" w:rsidRDefault="003A042B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E946792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E560F8C" w14:textId="4841DFB1" w:rsidR="003A042B" w:rsidRPr="007468BD" w:rsidRDefault="00FE73E4" w:rsidP="00FE73E4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="0084749A">
              <w:rPr>
                <w:sz w:val="18"/>
                <w:szCs w:val="18"/>
              </w:rPr>
              <w:t>o</w:t>
            </w:r>
            <w:r w:rsidR="003A042B" w:rsidRPr="007468BD">
              <w:rPr>
                <w:sz w:val="18"/>
                <w:szCs w:val="18"/>
              </w:rPr>
              <w:t xml:space="preserve"> projects in </w:t>
            </w:r>
            <w:r w:rsidR="003A042B">
              <w:rPr>
                <w:sz w:val="18"/>
                <w:szCs w:val="18"/>
              </w:rPr>
              <w:t>metropolitan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3118" w:type="dxa"/>
          </w:tcPr>
          <w:p w14:paraId="269F60F3" w14:textId="77777777" w:rsidR="003A042B" w:rsidRPr="007468BD" w:rsidRDefault="00763A61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8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45F26CC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9116491" w14:textId="77777777" w:rsidR="003A042B" w:rsidRPr="007468BD" w:rsidRDefault="003A042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4C0E6D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FD26030" w14:textId="10935B64" w:rsidR="003A042B" w:rsidRPr="007468BD" w:rsidRDefault="00413FAE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3A042B" w:rsidRPr="007468BD">
              <w:rPr>
                <w:sz w:val="18"/>
                <w:szCs w:val="18"/>
              </w:rPr>
              <w:t xml:space="preserve"> appl</w:t>
            </w:r>
            <w:r>
              <w:rPr>
                <w:sz w:val="18"/>
                <w:szCs w:val="18"/>
              </w:rPr>
              <w:t>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metropolitan </w:t>
            </w:r>
            <w:r w:rsidR="003A042B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14C0DD31" w14:textId="77777777" w:rsidR="003A042B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9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60A17C4F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043EF2E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bookmarkStart w:id="2" w:name="_Hlk174285273"/>
            <w:bookmarkEnd w:id="2"/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3B65DE" w14:textId="77777777" w:rsidR="004D314C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06BFCB4C" w14:textId="0025B49E" w:rsidR="004D314C" w:rsidRDefault="00FE73E4" w:rsidP="00F74365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projects in </w:t>
            </w:r>
            <w:r w:rsidR="00F74365">
              <w:rPr>
                <w:sz w:val="18"/>
                <w:szCs w:val="18"/>
              </w:rPr>
              <w:t>metropolitan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</w:t>
            </w:r>
            <w:r w:rsidR="0084749A">
              <w:rPr>
                <w:sz w:val="18"/>
                <w:szCs w:val="18"/>
              </w:rPr>
              <w:t>rea</w:t>
            </w:r>
            <w:r w:rsidR="004D3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06E6D5B7" w14:textId="77777777" w:rsidR="004D314C" w:rsidRPr="007468BD" w:rsidRDefault="00763A61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0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40560F9F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E2AD0B2" w14:textId="12A99631" w:rsidR="004D314C" w:rsidRPr="007468BD" w:rsidRDefault="007F7696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 w:rsidR="005944B1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950904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F87BBD0" w14:textId="77777777" w:rsidR="004D314C" w:rsidRPr="007468BD" w:rsidRDefault="004D314C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>
              <w:rPr>
                <w:sz w:val="18"/>
                <w:szCs w:val="18"/>
              </w:rPr>
              <w:br/>
            </w:r>
            <w:r w:rsidR="00F74365"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753D00D6" w14:textId="77777777" w:rsidR="004D314C" w:rsidRPr="007468BD" w:rsidRDefault="00763A61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1" w:history="1">
              <w:r w:rsidR="00CC0F32" w:rsidRPr="002468F7">
                <w:rPr>
                  <w:rStyle w:val="Hyperlink"/>
                  <w:sz w:val="18"/>
                  <w:szCs w:val="18"/>
                </w:rPr>
                <w:t xml:space="preserve">Complying </w:t>
              </w:r>
              <w:r w:rsidR="004D314C" w:rsidRPr="002468F7">
                <w:rPr>
                  <w:rStyle w:val="Hyperlink"/>
                  <w:sz w:val="18"/>
                  <w:szCs w:val="18"/>
                </w:rPr>
                <w:t>with International agreements (Instruction 2.1).</w:t>
              </w:r>
            </w:hyperlink>
          </w:p>
        </w:tc>
      </w:tr>
      <w:tr w:rsidR="004D314C" w:rsidRPr="007468BD" w14:paraId="02522FF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0A2269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7AF7B46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218EF0B" w14:textId="7C5F73DC" w:rsidR="004D314C" w:rsidRPr="007468BD" w:rsidRDefault="00952445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4D314C"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</w:tcPr>
          <w:p w14:paraId="61973ED4" w14:textId="77777777" w:rsidR="004D314C" w:rsidRPr="007468BD" w:rsidRDefault="00763A61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2" w:history="1">
              <w:r w:rsidR="004D314C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4D314C" w:rsidRPr="007468BD" w14:paraId="17E2925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606241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4A363A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B3280E4" w14:textId="77777777" w:rsidR="004D314C" w:rsidRPr="007468BD" w:rsidRDefault="00460473" w:rsidP="0061284B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17811">
              <w:rPr>
                <w:sz w:val="18"/>
                <w:szCs w:val="18"/>
              </w:rPr>
              <w:t xml:space="preserve">repare </w:t>
            </w:r>
            <w:r w:rsidR="004D314C"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B877D65" w14:textId="77777777" w:rsidR="004D314C" w:rsidRPr="007468BD" w:rsidRDefault="00763A61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3" w:history="1">
              <w:r w:rsidR="004D314C" w:rsidRPr="00FE73E4">
                <w:rPr>
                  <w:rStyle w:val="Hyperlink"/>
                  <w:sz w:val="18"/>
                  <w:szCs w:val="18"/>
                </w:rPr>
                <w:t>Managing probity in public construction procurement (Instruction 4.2)</w:t>
              </w:r>
            </w:hyperlink>
          </w:p>
        </w:tc>
      </w:tr>
      <w:tr w:rsidR="004D314C" w:rsidRPr="007468BD" w14:paraId="6C74F554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A14D6D0" w14:textId="77777777" w:rsidR="004D314C" w:rsidRPr="007468BD" w:rsidRDefault="004D314C" w:rsidP="00E377FE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81E72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E8D3A66" w14:textId="39C8FC3C" w:rsidR="004D314C" w:rsidRPr="007468BD" w:rsidRDefault="00413FAE" w:rsidP="0052430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4D314C" w:rsidRPr="007468BD">
              <w:rPr>
                <w:sz w:val="18"/>
                <w:szCs w:val="18"/>
              </w:rPr>
              <w:t>M</w:t>
            </w:r>
            <w:r w:rsidR="00275945">
              <w:rPr>
                <w:sz w:val="18"/>
                <w:szCs w:val="18"/>
              </w:rPr>
              <w:t xml:space="preserve">ajor </w:t>
            </w:r>
            <w:r w:rsidR="004D314C" w:rsidRPr="007468BD">
              <w:rPr>
                <w:sz w:val="18"/>
                <w:szCs w:val="18"/>
              </w:rPr>
              <w:t>P</w:t>
            </w:r>
            <w:r w:rsidR="00275945">
              <w:rPr>
                <w:sz w:val="18"/>
                <w:szCs w:val="18"/>
              </w:rPr>
              <w:t xml:space="preserve">rojects </w:t>
            </w:r>
            <w:r w:rsidR="004D314C" w:rsidRPr="007468BD">
              <w:rPr>
                <w:sz w:val="18"/>
                <w:szCs w:val="18"/>
              </w:rPr>
              <w:t>S</w:t>
            </w:r>
            <w:r w:rsidR="00275945">
              <w:rPr>
                <w:sz w:val="18"/>
                <w:szCs w:val="18"/>
              </w:rPr>
              <w:t xml:space="preserve">kills </w:t>
            </w:r>
            <w:r w:rsidR="004D314C" w:rsidRPr="007468BD">
              <w:rPr>
                <w:sz w:val="18"/>
                <w:szCs w:val="18"/>
              </w:rPr>
              <w:t>G</w:t>
            </w:r>
            <w:r w:rsidR="00275945">
              <w:rPr>
                <w:sz w:val="18"/>
                <w:szCs w:val="18"/>
              </w:rPr>
              <w:t>uarantee</w:t>
            </w:r>
            <w:r w:rsidR="004D314C" w:rsidRPr="007468BD">
              <w:rPr>
                <w:sz w:val="18"/>
                <w:szCs w:val="18"/>
              </w:rPr>
              <w:t xml:space="preserve">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6B065197" w14:textId="77777777" w:rsidR="004D314C" w:rsidRPr="007468BD" w:rsidRDefault="00763A61" w:rsidP="00524307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4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E453AD" w:rsidRPr="007468BD" w14:paraId="1C676049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082733A" w14:textId="77777777" w:rsidR="00E453AD" w:rsidRPr="007468BD" w:rsidRDefault="00E453AD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78B2F98" w14:textId="77777777" w:rsidR="00E453AD" w:rsidRPr="007468BD" w:rsidRDefault="00E453AD" w:rsidP="00763A6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1ADA48C" w14:textId="251C7478" w:rsidR="00E453AD" w:rsidRPr="00413FAE" w:rsidRDefault="00E453AD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3D8E6FE4" w14:textId="77777777" w:rsidR="00E453AD" w:rsidRDefault="00763A61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 w:history="1">
              <w:r w:rsidR="00E453AD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6E2BB9" w:rsidRPr="007468BD" w14:paraId="2452177A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9F62194" w14:textId="77777777" w:rsidR="006E2BB9" w:rsidRPr="007468BD" w:rsidRDefault="006E2BB9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72FAF1" w14:textId="04F8A36D" w:rsidR="006E2BB9" w:rsidRPr="007468BD" w:rsidRDefault="006E2BB9" w:rsidP="006E2BB9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011B0AB" w14:textId="1CC1ACFA" w:rsidR="006E2BB9" w:rsidRPr="006E2BB9" w:rsidRDefault="006E2BB9" w:rsidP="006E2BB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Building Equality Policy applies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projects</w:t>
            </w: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tendered on or after 1 January 2022</w:t>
            </w:r>
          </w:p>
        </w:tc>
        <w:tc>
          <w:tcPr>
            <w:tcW w:w="3118" w:type="dxa"/>
          </w:tcPr>
          <w:p w14:paraId="11B33DAF" w14:textId="34A103DF" w:rsidR="006E2BB9" w:rsidRDefault="00763A61" w:rsidP="006E2BB9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6E2BB9" w:rsidRPr="001C4FC9">
                <w:rPr>
                  <w:rStyle w:val="Hyperlink"/>
                  <w:color w:val="004A7C" w:themeColor="accent1" w:themeShade="BF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4F59E55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DF491DF" w14:textId="77777777" w:rsidR="004D314C" w:rsidRPr="007468BD" w:rsidRDefault="004D314C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8D09AE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5FB920BD" w14:textId="102FDDE1" w:rsidR="004D314C" w:rsidRPr="007468BD" w:rsidRDefault="00FE73E4" w:rsidP="00F74365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5C29EC44" w14:textId="77777777" w:rsidR="00217811" w:rsidRPr="007468BD" w:rsidRDefault="00763A61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7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84749A" w:rsidRPr="007468BD" w14:paraId="3AEE426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6BFFF04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A71013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A2077A6" w14:textId="4C0A853D" w:rsidR="004D314C" w:rsidRPr="007468BD" w:rsidRDefault="00413FAE" w:rsidP="0061284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275945">
              <w:rPr>
                <w:sz w:val="18"/>
                <w:szCs w:val="18"/>
              </w:rPr>
              <w:t>Victorian Industry Participation Policy</w:t>
            </w:r>
            <w:r w:rsidR="00275945" w:rsidRPr="007468BD">
              <w:rPr>
                <w:sz w:val="18"/>
                <w:szCs w:val="18"/>
              </w:rPr>
              <w:t xml:space="preserve"> </w:t>
            </w:r>
            <w:r w:rsidR="004D314C" w:rsidRPr="007468BD">
              <w:rPr>
                <w:sz w:val="18"/>
                <w:szCs w:val="18"/>
              </w:rPr>
              <w:t>Strategic Projects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4A9B17D6" w14:textId="77777777" w:rsidR="00217811" w:rsidRPr="007468BD" w:rsidRDefault="00763A61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8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5FB0162F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1759B0B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7C9CEFB" w14:textId="77777777" w:rsidR="004D314C" w:rsidRPr="007468BD" w:rsidRDefault="00551C3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4167929" w14:textId="7BE6266A" w:rsidR="004D314C" w:rsidRPr="007468BD" w:rsidRDefault="00FE73E4" w:rsidP="00F74365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3D32C4AE" w14:textId="77777777" w:rsidR="00217811" w:rsidRPr="007468BD" w:rsidRDefault="00763A61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9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</w:tbl>
    <w:p w14:paraId="014FF427" w14:textId="77777777" w:rsidR="004D314C" w:rsidRPr="006E2BB9" w:rsidRDefault="004D314C" w:rsidP="004D314C">
      <w:pPr>
        <w:rPr>
          <w:sz w:val="4"/>
          <w:szCs w:val="4"/>
        </w:rPr>
      </w:pPr>
      <w:r w:rsidRPr="006E2BB9">
        <w:rPr>
          <w:sz w:val="4"/>
          <w:szCs w:val="4"/>
        </w:rPr>
        <w:br w:type="page"/>
      </w:r>
    </w:p>
    <w:p w14:paraId="73561EEF" w14:textId="77777777" w:rsidR="00524307" w:rsidRDefault="00524307"/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3B71946C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  <w:shd w:val="clear" w:color="auto" w:fill="00518E"/>
          </w:tcPr>
          <w:p w14:paraId="49ED9B74" w14:textId="77777777" w:rsidR="00A503AE" w:rsidRPr="00C63C8B" w:rsidRDefault="00A503AE" w:rsidP="00090BE2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r w:rsidRPr="00C63C8B">
              <w:rPr>
                <w:b/>
                <w:sz w:val="24"/>
                <w:szCs w:val="24"/>
              </w:rPr>
              <w:t>Construction Services</w:t>
            </w:r>
          </w:p>
        </w:tc>
      </w:tr>
      <w:tr w:rsidR="00A503AE" w:rsidRPr="007468BD" w14:paraId="7EFBC31B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shd w:val="clear" w:color="auto" w:fill="00518E"/>
            <w:hideMark/>
          </w:tcPr>
          <w:p w14:paraId="0F57C090" w14:textId="77777777" w:rsidR="00A503AE" w:rsidRPr="007468BD" w:rsidRDefault="00A503AE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GST)</w:t>
            </w:r>
          </w:p>
        </w:tc>
        <w:tc>
          <w:tcPr>
            <w:tcW w:w="3544" w:type="dxa"/>
            <w:shd w:val="clear" w:color="auto" w:fill="00518E"/>
            <w:hideMark/>
          </w:tcPr>
          <w:p w14:paraId="3483192C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shd w:val="clear" w:color="auto" w:fill="00518E"/>
            <w:hideMark/>
          </w:tcPr>
          <w:p w14:paraId="2469840E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A503AE" w:rsidRPr="007468BD" w14:paraId="5D4BDD22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1B78E1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14:paraId="07731E39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65B254E" w14:textId="77777777" w:rsidR="00A503AE" w:rsidRPr="007468BD" w:rsidRDefault="00CC0F32" w:rsidP="00CC0F3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</w:t>
            </w:r>
            <w:r w:rsidR="00A503AE" w:rsidRPr="007468BD">
              <w:rPr>
                <w:sz w:val="18"/>
                <w:szCs w:val="18"/>
              </w:rPr>
              <w:t>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51B30ECE" w14:textId="77777777" w:rsidR="00A503AE" w:rsidRPr="007468BD" w:rsidRDefault="00763A61" w:rsidP="00551C3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0" w:history="1">
              <w:r w:rsidR="002468F7" w:rsidRPr="002468F7">
                <w:rPr>
                  <w:rStyle w:val="Hyperlink"/>
                  <w:sz w:val="18"/>
                  <w:szCs w:val="18"/>
                </w:rPr>
                <w:t>Complying with the Australia New Zealand Government Procurement Agreement (Instruction 2.2)</w:t>
              </w:r>
            </w:hyperlink>
          </w:p>
        </w:tc>
      </w:tr>
      <w:tr w:rsidR="00A503AE" w:rsidRPr="007468BD" w14:paraId="63FFC81B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26F5B8F" w14:textId="6E98584E" w:rsidR="00A503AE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A503AE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4518609B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  <w:hideMark/>
          </w:tcPr>
          <w:p w14:paraId="533EE41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 a single potential tender participant to participate in a Limited Tender</w:t>
            </w:r>
          </w:p>
        </w:tc>
        <w:tc>
          <w:tcPr>
            <w:tcW w:w="3118" w:type="dxa"/>
            <w:hideMark/>
          </w:tcPr>
          <w:p w14:paraId="2EC20327" w14:textId="77777777" w:rsidR="00A503AE" w:rsidRPr="007468BD" w:rsidRDefault="00763A61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1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7468BD" w:rsidRPr="007468BD" w14:paraId="055760F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66ACA4F3" w14:textId="2CC86EF8" w:rsidR="007468BD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0840E2C3" w14:textId="64F86DFC" w:rsidR="007468BD" w:rsidRPr="007468BD" w:rsidRDefault="007468BD" w:rsidP="007468BD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at or above and below </w:t>
            </w:r>
            <w:r w:rsidR="00766ACE" w:rsidRPr="59713044">
              <w:rPr>
                <w:sz w:val="18"/>
                <w:szCs w:val="18"/>
              </w:rPr>
              <w:t>3</w:t>
            </w:r>
            <w:r w:rsidRPr="59713044">
              <w:rPr>
                <w:sz w:val="18"/>
                <w:szCs w:val="18"/>
              </w:rPr>
              <w:t>00,000</w:t>
            </w:r>
          </w:p>
        </w:tc>
        <w:tc>
          <w:tcPr>
            <w:tcW w:w="3544" w:type="dxa"/>
            <w:hideMark/>
          </w:tcPr>
          <w:p w14:paraId="3C47F635" w14:textId="77777777" w:rsidR="007468BD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  <w:hideMark/>
          </w:tcPr>
          <w:p w14:paraId="2FBD1EE7" w14:textId="77777777" w:rsidR="007468BD" w:rsidRPr="007468BD" w:rsidRDefault="00763A61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2" w:history="1">
              <w:r w:rsidR="007468BD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A503AE" w:rsidRPr="007468BD" w14:paraId="1D21769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043047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hideMark/>
          </w:tcPr>
          <w:p w14:paraId="4B372D7E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1ED9191C" w14:textId="48281C8E" w:rsidR="00A503AE" w:rsidRPr="007468BD" w:rsidRDefault="00952445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A503AE" w:rsidRPr="007468BD">
              <w:rPr>
                <w:sz w:val="18"/>
                <w:szCs w:val="18"/>
              </w:rPr>
              <w:t xml:space="preserve"> summary details of procurement undertaken</w:t>
            </w:r>
          </w:p>
        </w:tc>
        <w:tc>
          <w:tcPr>
            <w:tcW w:w="3118" w:type="dxa"/>
            <w:hideMark/>
          </w:tcPr>
          <w:p w14:paraId="09A514F3" w14:textId="77777777" w:rsidR="00A503AE" w:rsidRPr="007468BD" w:rsidRDefault="00763A61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3" w:history="1">
              <w:r w:rsidR="00A503AE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A503AE" w:rsidRPr="007468BD" w14:paraId="575D89D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CF16D6" w14:textId="36B0B0A6" w:rsidR="00A503AE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3</w:t>
            </w:r>
            <w:r w:rsidR="007468BD" w:rsidRPr="59713044">
              <w:rPr>
                <w:sz w:val="18"/>
                <w:szCs w:val="18"/>
              </w:rPr>
              <w:t>00,000</w:t>
            </w:r>
          </w:p>
        </w:tc>
        <w:tc>
          <w:tcPr>
            <w:tcW w:w="1276" w:type="dxa"/>
            <w:hideMark/>
          </w:tcPr>
          <w:p w14:paraId="4EABC803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2F2504B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nvite:</w:t>
            </w:r>
          </w:p>
          <w:p w14:paraId="3A33A4D8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6A47D8AB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500F08" w14:textId="77777777" w:rsidR="00A503AE" w:rsidRPr="007468BD" w:rsidRDefault="00763A61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4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A503AE" w:rsidRPr="007468BD" w14:paraId="6ACBC9B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3A7EA29A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2730B414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697AC532" w14:textId="185C3BD7" w:rsidR="00A503AE" w:rsidRPr="008D758C" w:rsidRDefault="007C7ECF" w:rsidP="008D758C">
            <w:pPr>
              <w:spacing w:before="60" w:after="60"/>
              <w:ind w:left="360"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503AE" w:rsidRPr="007468BD">
              <w:rPr>
                <w:sz w:val="18"/>
                <w:szCs w:val="18"/>
              </w:rPr>
              <w:t>orward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="00A503AE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25EC06C0" w14:textId="77777777" w:rsidR="00A503AE" w:rsidRPr="007468BD" w:rsidRDefault="00763A61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5" w:history="1">
              <w:r w:rsidR="00A503AE" w:rsidRPr="002468F7">
                <w:rPr>
                  <w:rStyle w:val="Hyperlink"/>
                  <w:sz w:val="18"/>
                  <w:szCs w:val="18"/>
                </w:rPr>
                <w:t>Forward notices (Instruction</w:t>
              </w:r>
              <w:r w:rsidR="00E65D7A" w:rsidRPr="002468F7">
                <w:rPr>
                  <w:rStyle w:val="Hyperlink"/>
                  <w:sz w:val="18"/>
                  <w:szCs w:val="18"/>
                </w:rPr>
                <w:t> </w:t>
              </w:r>
              <w:r w:rsidR="00A503AE" w:rsidRPr="002468F7">
                <w:rPr>
                  <w:rStyle w:val="Hyperlink"/>
                  <w:sz w:val="18"/>
                  <w:szCs w:val="18"/>
                </w:rPr>
                <w:t>5.1)</w:t>
              </w:r>
            </w:hyperlink>
          </w:p>
        </w:tc>
      </w:tr>
      <w:tr w:rsidR="00A503AE" w:rsidRPr="007468BD" w14:paraId="4EF1B5B0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057241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16FCF145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4C793712" w14:textId="649BC746" w:rsidR="00A503AE" w:rsidRPr="008D758C" w:rsidRDefault="00A503AE" w:rsidP="008D758C">
            <w:pPr>
              <w:spacing w:before="60" w:after="60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427E3C" w14:textId="77777777" w:rsidR="00A503AE" w:rsidRPr="007468BD" w:rsidRDefault="00763A61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6" w:history="1">
              <w:r w:rsidR="00A503AE" w:rsidRPr="00FE73E4">
                <w:rPr>
                  <w:rStyle w:val="Hyperlink"/>
                  <w:sz w:val="18"/>
                  <w:szCs w:val="18"/>
                </w:rPr>
                <w:t>Tender Notices (Instruction 3.4)</w:t>
              </w:r>
            </w:hyperlink>
          </w:p>
        </w:tc>
      </w:tr>
      <w:tr w:rsidR="00A503AE" w:rsidRPr="007468BD" w14:paraId="32D27DE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D3FE60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4D26FC2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581638DF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503AE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790A338" w14:textId="77777777" w:rsidR="00A503AE" w:rsidRPr="007468BD" w:rsidRDefault="00763A61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7" w:history="1">
              <w:r w:rsidR="00FE73E4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DA4314" w:rsidRPr="007468BD" w14:paraId="5B8946AA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033CEBE" w14:textId="77777777" w:rsidR="00DA4314" w:rsidRPr="007468BD" w:rsidRDefault="00DA4314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8F3D17" w14:textId="77777777" w:rsidR="00DA4314" w:rsidRPr="007468BD" w:rsidRDefault="00DA4314" w:rsidP="00763A61">
            <w:pPr>
              <w:spacing w:before="60" w:after="60"/>
              <w:ind w:righ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827950B" w14:textId="77777777" w:rsidR="00DA4314" w:rsidRPr="007468BD" w:rsidRDefault="00DA4314" w:rsidP="007C7EC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 w:rsidR="007C7ECF">
              <w:rPr>
                <w:sz w:val="18"/>
                <w:szCs w:val="18"/>
              </w:rPr>
              <w:t>applies to contracts</w:t>
            </w:r>
            <w:r w:rsidRPr="00E377FE">
              <w:rPr>
                <w:sz w:val="18"/>
                <w:szCs w:val="18"/>
              </w:rPr>
              <w:t xml:space="preserve"> starting </w:t>
            </w:r>
            <w:r w:rsidR="007C7ECF"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718D79DF" w14:textId="77777777" w:rsidR="00DA4314" w:rsidRPr="007468BD" w:rsidRDefault="00763A61" w:rsidP="00275945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8" w:history="1">
              <w:r w:rsidR="00DA4314" w:rsidRPr="00FE73E4">
                <w:rPr>
                  <w:rStyle w:val="Hyperlink"/>
                  <w:sz w:val="18"/>
                  <w:szCs w:val="18"/>
                </w:rPr>
                <w:t>Supplier performance and shared reporting requirements (Instruction</w:t>
              </w:r>
              <w:r w:rsidR="00275945" w:rsidRPr="00FE73E4">
                <w:rPr>
                  <w:rStyle w:val="Hyperlink"/>
                  <w:sz w:val="18"/>
                  <w:szCs w:val="18"/>
                </w:rPr>
                <w:t> </w:t>
              </w:r>
              <w:r w:rsidR="00DA4314"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A503AE" w:rsidRPr="007468BD" w14:paraId="779EFB9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3C68BBE7" w14:textId="041F1C2D" w:rsidR="00A503AE" w:rsidRPr="007468BD" w:rsidRDefault="007F7696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5944B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18FD6616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4C421350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7C7ECF">
              <w:rPr>
                <w:sz w:val="18"/>
                <w:szCs w:val="18"/>
              </w:rPr>
              <w:br/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  <w:hideMark/>
          </w:tcPr>
          <w:p w14:paraId="1DEBBC2E" w14:textId="77777777" w:rsidR="00A503AE" w:rsidRPr="007468BD" w:rsidRDefault="00763A61" w:rsidP="00551C3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9" w:history="1">
              <w:r w:rsidR="002468F7" w:rsidRPr="002468F7">
                <w:rPr>
                  <w:rStyle w:val="Hyperlink"/>
                  <w:sz w:val="18"/>
                  <w:szCs w:val="18"/>
                </w:rPr>
                <w:t>Complying with International agreements (Instruction 2.1).</w:t>
              </w:r>
            </w:hyperlink>
          </w:p>
        </w:tc>
      </w:tr>
      <w:tr w:rsidR="00551C3C" w:rsidRPr="007468BD" w14:paraId="56E2A0A8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25AEC3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1,000,000</w:t>
            </w:r>
            <w:r w:rsidR="008D758C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25AE349A" w14:textId="77777777" w:rsidR="00551C3C" w:rsidRPr="007468BD" w:rsidRDefault="00551C3C" w:rsidP="00763A6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2724AF8B" w14:textId="653705E6" w:rsidR="00551C3C" w:rsidRPr="007468BD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6F38CB" w14:textId="77777777" w:rsidR="00551C3C" w:rsidRPr="007468BD" w:rsidRDefault="00763A61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0" w:history="1">
              <w:r w:rsidR="00551C3C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0336B80A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3A2FDC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AFB2B" w14:textId="77777777" w:rsidR="00551C3C" w:rsidRPr="007468BD" w:rsidRDefault="00551C3C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059257D9" w14:textId="44EF2305" w:rsidR="00551C3C" w:rsidRPr="007468BD" w:rsidRDefault="008D758C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0D116C">
              <w:rPr>
                <w:sz w:val="18"/>
                <w:szCs w:val="18"/>
              </w:rPr>
              <w:t>to</w:t>
            </w:r>
            <w:r w:rsidR="000D116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84749A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5A40CE49" w14:textId="77777777" w:rsidR="00551C3C" w:rsidRPr="007468BD" w:rsidRDefault="00763A61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1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6BE58D0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53F123A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B168F" w14:textId="77777777" w:rsidR="00551C3C" w:rsidRDefault="00551C3C" w:rsidP="00763A6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8D758C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18D547A" w14:textId="251F536E" w:rsidR="00551C3C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51C3C" w:rsidRPr="007468BD">
              <w:rPr>
                <w:sz w:val="18"/>
                <w:szCs w:val="18"/>
              </w:rPr>
              <w:t xml:space="preserve"> 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EE8EB5" w14:textId="77777777" w:rsidR="00551C3C" w:rsidRPr="007468BD" w:rsidRDefault="00763A61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2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5A3C9D3D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907337B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EDB70" w14:textId="074AB440" w:rsidR="005944B1" w:rsidRPr="007468BD" w:rsidRDefault="005944B1" w:rsidP="59713044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57F1AA61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tenderers must hold a Fair Jobs Code Pre-Assessment Certificate</w:t>
            </w:r>
          </w:p>
          <w:p w14:paraId="6D222EBE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04524F1" w14:textId="0095683A" w:rsidR="005944B1" w:rsidRPr="008D758C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Significant Subcontractors tendering for subcontracts (of this value range).</w:t>
            </w:r>
          </w:p>
        </w:tc>
        <w:tc>
          <w:tcPr>
            <w:tcW w:w="3118" w:type="dxa"/>
          </w:tcPr>
          <w:p w14:paraId="77A6EF70" w14:textId="5A6AC98C" w:rsidR="005944B1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3" w:history="1">
              <w:r w:rsidRPr="5971304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6A1661A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060D049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3.000.000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7D2372EE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3FD22AD" w14:textId="3DD069EB" w:rsidR="005944B1" w:rsidRPr="007468BD" w:rsidRDefault="005944B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 to</w:t>
            </w:r>
            <w:r w:rsidRPr="007468BD">
              <w:rPr>
                <w:sz w:val="18"/>
                <w:szCs w:val="18"/>
              </w:rPr>
              <w:t xml:space="preserve"> projects in </w:t>
            </w:r>
            <w:r>
              <w:rPr>
                <w:sz w:val="18"/>
                <w:szCs w:val="18"/>
              </w:rPr>
              <w:t>metropolitan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31281766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4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30B02648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77ACDC9E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885E5" w14:textId="77777777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1F557CA2" w14:textId="2B8F8BF2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 Industry Participation Policy</w:t>
            </w:r>
            <w:r w:rsidRPr="007468BD">
              <w:rPr>
                <w:sz w:val="18"/>
                <w:szCs w:val="18"/>
              </w:rPr>
              <w:t xml:space="preserve"> appl</w:t>
            </w:r>
            <w:r>
              <w:rPr>
                <w:sz w:val="18"/>
                <w:szCs w:val="18"/>
              </w:rPr>
              <w:t>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projects in metropolitan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2D9B0F8C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5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5FFDA35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0B96960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C842F" w14:textId="77777777" w:rsidR="005944B1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3F37BFBD" w14:textId="3CF89842" w:rsidR="005944B1" w:rsidRDefault="005944B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projects in </w:t>
            </w:r>
            <w:r>
              <w:rPr>
                <w:sz w:val="18"/>
                <w:szCs w:val="18"/>
              </w:rPr>
              <w:t>metropolitan area</w:t>
            </w:r>
          </w:p>
        </w:tc>
        <w:tc>
          <w:tcPr>
            <w:tcW w:w="3118" w:type="dxa"/>
          </w:tcPr>
          <w:p w14:paraId="58C38622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6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2FE2387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2070040B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</w:tcPr>
          <w:p w14:paraId="0457DFC2" w14:textId="77777777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A2FCD13" w14:textId="714B751F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  <w:hideMark/>
          </w:tcPr>
          <w:p w14:paraId="56DB2333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7" w:history="1">
              <w:r w:rsidR="005944B1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5944B1" w:rsidRPr="007468BD" w14:paraId="0D3D1C32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149C0385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3FCF32" w14:textId="7777777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AFC8EBF" w14:textId="7777777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</w:t>
            </w:r>
            <w:r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5FD3091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</w:rPr>
            </w:pPr>
            <w:hyperlink r:id="rId58" w:history="1">
              <w:r w:rsidR="005944B1" w:rsidRPr="00FE73E4">
                <w:rPr>
                  <w:rStyle w:val="Hyperlink"/>
                  <w:sz w:val="18"/>
                  <w:szCs w:val="18"/>
                </w:rPr>
                <w:t>Managing probity in public construction procurement (Instruction 4.2)</w:t>
              </w:r>
            </w:hyperlink>
          </w:p>
        </w:tc>
      </w:tr>
      <w:tr w:rsidR="005944B1" w:rsidRPr="007468BD" w14:paraId="18F48433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41CA702" w14:textId="50266B4B" w:rsidR="005944B1" w:rsidRPr="007468BD" w:rsidRDefault="005944B1" w:rsidP="005944B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A3FC474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7B6086FB" w14:textId="77777777" w:rsidR="005944B1" w:rsidRPr="00413FAE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41273A4D" w14:textId="77777777" w:rsidR="005944B1" w:rsidRDefault="00763A6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9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454A54C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C6F64D4" w14:textId="52DDF772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C21D5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D2ADC4B" w14:textId="76D9214A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 </w:t>
            </w:r>
            <w:r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60520302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0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5DB0753D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A3CD42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5A062AD3" w14:textId="77777777" w:rsidR="005944B1" w:rsidRPr="007468BD" w:rsidRDefault="005944B1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9A5D64A" w14:textId="448DD0AB" w:rsidR="005944B1" w:rsidRPr="007468BD" w:rsidRDefault="005944B1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Jobs First - Victorian Industry Participation Policy</w:t>
            </w:r>
            <w:r w:rsidRPr="007468BD">
              <w:rPr>
                <w:sz w:val="18"/>
                <w:szCs w:val="18"/>
              </w:rPr>
              <w:t xml:space="preserve"> Strategic Projects appl</w:t>
            </w:r>
            <w:r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2A1AB578" w14:textId="77777777" w:rsidR="005944B1" w:rsidRPr="007468BD" w:rsidRDefault="00763A61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61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944B1" w:rsidRPr="007468BD" w14:paraId="6DCCF63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58E8B49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25F76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C9519F2" w14:textId="0F8B099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all </w:t>
            </w:r>
            <w:r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1F1117DB" w14:textId="77777777" w:rsidR="005944B1" w:rsidRPr="007468BD" w:rsidRDefault="00763A6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2" w:history="1">
              <w:r w:rsidR="005944B1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bookmarkEnd w:id="0"/>
      <w:bookmarkEnd w:id="1"/>
    </w:tbl>
    <w:p w14:paraId="6B0E64A9" w14:textId="77777777" w:rsidR="005345B7" w:rsidRPr="00A503AE" w:rsidRDefault="005345B7" w:rsidP="00A503AE">
      <w:pPr>
        <w:spacing w:before="60" w:after="60" w:line="240" w:lineRule="auto"/>
        <w:ind w:right="226"/>
        <w:rPr>
          <w:rFonts w:eastAsiaTheme="minorHAnsi"/>
          <w:sz w:val="17"/>
          <w:szCs w:val="21"/>
          <w:lang w:eastAsia="en-US"/>
        </w:rPr>
      </w:pPr>
    </w:p>
    <w:sectPr w:rsidR="005345B7" w:rsidRPr="00A503AE" w:rsidSect="00830543">
      <w:headerReference w:type="default" r:id="rId63"/>
      <w:footerReference w:type="default" r:id="rId64"/>
      <w:pgSz w:w="11906" w:h="16838" w:code="9"/>
      <w:pgMar w:top="2160" w:right="1440" w:bottom="113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376D" w14:textId="77777777" w:rsidR="00C4139A" w:rsidRDefault="00C4139A" w:rsidP="002D711A">
      <w:pPr>
        <w:spacing w:after="0" w:line="240" w:lineRule="auto"/>
      </w:pPr>
      <w:r>
        <w:separator/>
      </w:r>
    </w:p>
  </w:endnote>
  <w:endnote w:type="continuationSeparator" w:id="0">
    <w:p w14:paraId="1059420E" w14:textId="77777777" w:rsidR="00C4139A" w:rsidRDefault="00C4139A" w:rsidP="002D711A">
      <w:pPr>
        <w:spacing w:after="0" w:line="240" w:lineRule="auto"/>
      </w:pPr>
      <w:r>
        <w:continuationSeparator/>
      </w:r>
    </w:p>
  </w:endnote>
  <w:endnote w:type="continuationNotice" w:id="1">
    <w:p w14:paraId="7AECDDA3" w14:textId="77777777" w:rsidR="00292C5F" w:rsidRDefault="00292C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0410" w14:textId="63061CD4" w:rsidR="00BF6CFF" w:rsidRPr="00C022F9" w:rsidRDefault="00952445" w:rsidP="0041689E">
    <w:pPr>
      <w:pStyle w:val="Footer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7EF2FA1" wp14:editId="3B60FE5B">
              <wp:simplePos x="0" y="0"/>
              <wp:positionH relativeFrom="page">
                <wp:posOffset>0</wp:posOffset>
              </wp:positionH>
              <wp:positionV relativeFrom="page">
                <wp:posOffset>10414000</wp:posOffset>
              </wp:positionV>
              <wp:extent cx="7560310" cy="88900"/>
              <wp:effectExtent l="0" t="0" r="0" b="6350"/>
              <wp:wrapNone/>
              <wp:docPr id="1" name="MSIPCM047c4bf8b0307abb4b2d449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88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F29A69" w14:textId="77777777" w:rsidR="00952445" w:rsidRPr="00952445" w:rsidRDefault="00952445" w:rsidP="00952445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5244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F2FA1" id="_x0000_t202" coordsize="21600,21600" o:spt="202" path="m,l,21600r21600,l21600,xe">
              <v:stroke joinstyle="miter"/>
              <v:path gradientshapeok="t" o:connecttype="rect"/>
            </v:shapetype>
            <v:shape id="MSIPCM047c4bf8b0307abb4b2d449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20pt;width:595.3pt;height:7pt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" o:allowincell="f" filled="f" stroked="f" strokeweight=".5pt">
              <v:textbox inset="20pt,0,,0">
                <w:txbxContent>
                  <w:p w14:paraId="03F29A69" w14:textId="77777777" w:rsidR="00952445" w:rsidRPr="00952445" w:rsidRDefault="00952445" w:rsidP="00952445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5244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9713044" w:rsidRPr="59713044">
      <w:rPr>
        <w:b/>
        <w:bCs/>
        <w:color w:val="0063A6" w:themeColor="accent1"/>
      </w:rPr>
      <w:t>Fact sheet – Thresholds applying to public construction procurement (Quick guide)</w:t>
    </w:r>
    <w:r w:rsidR="00BF6CFF">
      <w:rPr>
        <w:b/>
        <w:color w:val="0063A6" w:themeColor="accent1"/>
      </w:rPr>
      <w:br/>
    </w:r>
    <w:r w:rsidR="59713044">
      <w:rPr>
        <w:noProof w:val="0"/>
      </w:rPr>
      <w:t>Effective date: 1</w:t>
    </w:r>
    <w:r w:rsidR="00B94CDE">
      <w:rPr>
        <w:noProof w:val="0"/>
      </w:rPr>
      <w:t xml:space="preserve"> </w:t>
    </w:r>
    <w:r w:rsidR="59713044">
      <w:rPr>
        <w:noProof w:val="0"/>
      </w:rPr>
      <w:t>September 2024</w:t>
    </w:r>
    <w:r w:rsidR="00BF6CFF">
      <w:tab/>
    </w:r>
    <w:r w:rsidR="59713044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59713044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E921" w14:textId="77777777" w:rsidR="00C4139A" w:rsidRDefault="00C4139A" w:rsidP="002D711A">
      <w:pPr>
        <w:spacing w:after="0" w:line="240" w:lineRule="auto"/>
      </w:pPr>
      <w:r>
        <w:separator/>
      </w:r>
    </w:p>
  </w:footnote>
  <w:footnote w:type="continuationSeparator" w:id="0">
    <w:p w14:paraId="0E4E6BFE" w14:textId="77777777" w:rsidR="00C4139A" w:rsidRDefault="00C4139A" w:rsidP="002D711A">
      <w:pPr>
        <w:spacing w:after="0" w:line="240" w:lineRule="auto"/>
      </w:pPr>
      <w:r>
        <w:continuationSeparator/>
      </w:r>
    </w:p>
  </w:footnote>
  <w:footnote w:type="continuationNotice" w:id="1">
    <w:p w14:paraId="6C229A7C" w14:textId="77777777" w:rsidR="00292C5F" w:rsidRDefault="00292C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2640" w14:textId="77777777" w:rsidR="00BF6CFF" w:rsidRPr="0041689E" w:rsidRDefault="00BF6CF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9954AF8" wp14:editId="4F69DF6A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ACBEC0" wp14:editId="1D1E8C0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4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73929">
    <w:abstractNumId w:val="5"/>
  </w:num>
  <w:num w:numId="2" w16cid:durableId="1050113627">
    <w:abstractNumId w:val="12"/>
  </w:num>
  <w:num w:numId="3" w16cid:durableId="1387097737">
    <w:abstractNumId w:val="13"/>
  </w:num>
  <w:num w:numId="4" w16cid:durableId="1499543714">
    <w:abstractNumId w:val="2"/>
  </w:num>
  <w:num w:numId="5" w16cid:durableId="1084450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05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977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0612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610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743501">
    <w:abstractNumId w:val="3"/>
  </w:num>
  <w:num w:numId="11" w16cid:durableId="100540849">
    <w:abstractNumId w:val="9"/>
  </w:num>
  <w:num w:numId="12" w16cid:durableId="2053262080">
    <w:abstractNumId w:val="7"/>
  </w:num>
  <w:num w:numId="13" w16cid:durableId="515391308">
    <w:abstractNumId w:val="8"/>
  </w:num>
  <w:num w:numId="14" w16cid:durableId="399793272">
    <w:abstractNumId w:val="10"/>
  </w:num>
  <w:num w:numId="15" w16cid:durableId="17426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491165">
    <w:abstractNumId w:val="1"/>
  </w:num>
  <w:num w:numId="17" w16cid:durableId="844172807">
    <w:abstractNumId w:val="5"/>
  </w:num>
  <w:num w:numId="18" w16cid:durableId="2124380857">
    <w:abstractNumId w:val="5"/>
  </w:num>
  <w:num w:numId="19" w16cid:durableId="2139106603">
    <w:abstractNumId w:val="5"/>
  </w:num>
  <w:num w:numId="20" w16cid:durableId="59788846">
    <w:abstractNumId w:val="5"/>
  </w:num>
  <w:num w:numId="21" w16cid:durableId="2059358081">
    <w:abstractNumId w:val="6"/>
  </w:num>
  <w:num w:numId="22" w16cid:durableId="1741948859">
    <w:abstractNumId w:val="14"/>
  </w:num>
  <w:num w:numId="23" w16cid:durableId="956722567">
    <w:abstractNumId w:val="11"/>
  </w:num>
  <w:num w:numId="24" w16cid:durableId="1368095136">
    <w:abstractNumId w:val="0"/>
  </w:num>
  <w:num w:numId="25" w16cid:durableId="187315504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1BFF"/>
    <w:rsid w:val="00023BF3"/>
    <w:rsid w:val="00026811"/>
    <w:rsid w:val="00043296"/>
    <w:rsid w:val="0004356D"/>
    <w:rsid w:val="00045296"/>
    <w:rsid w:val="00052E38"/>
    <w:rsid w:val="0007296D"/>
    <w:rsid w:val="00075E6C"/>
    <w:rsid w:val="00080994"/>
    <w:rsid w:val="00090BE2"/>
    <w:rsid w:val="000B29AD"/>
    <w:rsid w:val="000C53F8"/>
    <w:rsid w:val="000C6372"/>
    <w:rsid w:val="000D116C"/>
    <w:rsid w:val="000D1DDD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930D1"/>
    <w:rsid w:val="001A3DD1"/>
    <w:rsid w:val="001B4A70"/>
    <w:rsid w:val="001C7BAE"/>
    <w:rsid w:val="001D717E"/>
    <w:rsid w:val="001E193B"/>
    <w:rsid w:val="001E31FA"/>
    <w:rsid w:val="001E6347"/>
    <w:rsid w:val="001E64F6"/>
    <w:rsid w:val="001F4091"/>
    <w:rsid w:val="00200BB3"/>
    <w:rsid w:val="00217811"/>
    <w:rsid w:val="00222BEB"/>
    <w:rsid w:val="00225E60"/>
    <w:rsid w:val="00227C39"/>
    <w:rsid w:val="0023202C"/>
    <w:rsid w:val="00236203"/>
    <w:rsid w:val="002431E1"/>
    <w:rsid w:val="00245043"/>
    <w:rsid w:val="002468F7"/>
    <w:rsid w:val="00256AC2"/>
    <w:rsid w:val="00257760"/>
    <w:rsid w:val="00275945"/>
    <w:rsid w:val="00292C5F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8771C"/>
    <w:rsid w:val="00392729"/>
    <w:rsid w:val="00392A8F"/>
    <w:rsid w:val="0039405B"/>
    <w:rsid w:val="003A042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3FAE"/>
    <w:rsid w:val="0041689E"/>
    <w:rsid w:val="004236C8"/>
    <w:rsid w:val="00427681"/>
    <w:rsid w:val="00433DB7"/>
    <w:rsid w:val="00437CBA"/>
    <w:rsid w:val="00442065"/>
    <w:rsid w:val="00453750"/>
    <w:rsid w:val="00456941"/>
    <w:rsid w:val="00460473"/>
    <w:rsid w:val="004669E3"/>
    <w:rsid w:val="004702EA"/>
    <w:rsid w:val="00482D02"/>
    <w:rsid w:val="004A7519"/>
    <w:rsid w:val="004B41CA"/>
    <w:rsid w:val="004C13A8"/>
    <w:rsid w:val="004D314C"/>
    <w:rsid w:val="004D3518"/>
    <w:rsid w:val="004D62D6"/>
    <w:rsid w:val="00514EEA"/>
    <w:rsid w:val="00524307"/>
    <w:rsid w:val="005276B2"/>
    <w:rsid w:val="0053416C"/>
    <w:rsid w:val="005345B7"/>
    <w:rsid w:val="00541C2F"/>
    <w:rsid w:val="005430D4"/>
    <w:rsid w:val="00551C3C"/>
    <w:rsid w:val="00552972"/>
    <w:rsid w:val="00563527"/>
    <w:rsid w:val="00566D74"/>
    <w:rsid w:val="0058124E"/>
    <w:rsid w:val="00584301"/>
    <w:rsid w:val="005875A3"/>
    <w:rsid w:val="005944B1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05856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738C4"/>
    <w:rsid w:val="00691C09"/>
    <w:rsid w:val="006A5B34"/>
    <w:rsid w:val="006A5F5B"/>
    <w:rsid w:val="006C77A9"/>
    <w:rsid w:val="006E2BB9"/>
    <w:rsid w:val="006E5B1B"/>
    <w:rsid w:val="006F3DE3"/>
    <w:rsid w:val="006F6693"/>
    <w:rsid w:val="00707FE8"/>
    <w:rsid w:val="00714320"/>
    <w:rsid w:val="007222EC"/>
    <w:rsid w:val="00724962"/>
    <w:rsid w:val="00724A0F"/>
    <w:rsid w:val="0073072C"/>
    <w:rsid w:val="007320B4"/>
    <w:rsid w:val="00732162"/>
    <w:rsid w:val="00736732"/>
    <w:rsid w:val="007454CB"/>
    <w:rsid w:val="007468BD"/>
    <w:rsid w:val="00750105"/>
    <w:rsid w:val="00750CBE"/>
    <w:rsid w:val="00763A61"/>
    <w:rsid w:val="00766ACE"/>
    <w:rsid w:val="00766B5A"/>
    <w:rsid w:val="007815DA"/>
    <w:rsid w:val="00782106"/>
    <w:rsid w:val="007834F2"/>
    <w:rsid w:val="00790F25"/>
    <w:rsid w:val="00791020"/>
    <w:rsid w:val="007A5F82"/>
    <w:rsid w:val="007B75A4"/>
    <w:rsid w:val="007B7DBD"/>
    <w:rsid w:val="007C7ECF"/>
    <w:rsid w:val="007D32CF"/>
    <w:rsid w:val="007D6C30"/>
    <w:rsid w:val="007E50CB"/>
    <w:rsid w:val="007E77EC"/>
    <w:rsid w:val="007F1A4C"/>
    <w:rsid w:val="007F7696"/>
    <w:rsid w:val="008022C3"/>
    <w:rsid w:val="008041E6"/>
    <w:rsid w:val="008065D2"/>
    <w:rsid w:val="00813DD7"/>
    <w:rsid w:val="0082194C"/>
    <w:rsid w:val="008220C4"/>
    <w:rsid w:val="008222FF"/>
    <w:rsid w:val="008241FF"/>
    <w:rsid w:val="00830543"/>
    <w:rsid w:val="008411E9"/>
    <w:rsid w:val="0084200F"/>
    <w:rsid w:val="00843B2C"/>
    <w:rsid w:val="008471C4"/>
    <w:rsid w:val="0084749A"/>
    <w:rsid w:val="00885779"/>
    <w:rsid w:val="00892958"/>
    <w:rsid w:val="008A24BA"/>
    <w:rsid w:val="008A4900"/>
    <w:rsid w:val="008D0281"/>
    <w:rsid w:val="008D758C"/>
    <w:rsid w:val="008D7F51"/>
    <w:rsid w:val="008E304E"/>
    <w:rsid w:val="008E3C4E"/>
    <w:rsid w:val="008E53C8"/>
    <w:rsid w:val="008F6D45"/>
    <w:rsid w:val="00904408"/>
    <w:rsid w:val="00931B7B"/>
    <w:rsid w:val="00952445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1F8B"/>
    <w:rsid w:val="009D2267"/>
    <w:rsid w:val="009E3858"/>
    <w:rsid w:val="009E70DD"/>
    <w:rsid w:val="009F19A1"/>
    <w:rsid w:val="009F2ED9"/>
    <w:rsid w:val="009F3231"/>
    <w:rsid w:val="009F5C58"/>
    <w:rsid w:val="00A023A0"/>
    <w:rsid w:val="00A1562B"/>
    <w:rsid w:val="00A170F4"/>
    <w:rsid w:val="00A2060A"/>
    <w:rsid w:val="00A2559E"/>
    <w:rsid w:val="00A25FD9"/>
    <w:rsid w:val="00A46BA8"/>
    <w:rsid w:val="00A47634"/>
    <w:rsid w:val="00A503AE"/>
    <w:rsid w:val="00A612FE"/>
    <w:rsid w:val="00A902A7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2583"/>
    <w:rsid w:val="00B81B44"/>
    <w:rsid w:val="00B862FE"/>
    <w:rsid w:val="00B9053B"/>
    <w:rsid w:val="00B93238"/>
    <w:rsid w:val="00B94CDE"/>
    <w:rsid w:val="00BC3422"/>
    <w:rsid w:val="00BF6CFF"/>
    <w:rsid w:val="00C015B9"/>
    <w:rsid w:val="00C022F9"/>
    <w:rsid w:val="00C032EA"/>
    <w:rsid w:val="00C06EB5"/>
    <w:rsid w:val="00C1145F"/>
    <w:rsid w:val="00C4139A"/>
    <w:rsid w:val="00C52D92"/>
    <w:rsid w:val="00C637E1"/>
    <w:rsid w:val="00C63C8B"/>
    <w:rsid w:val="00C70D50"/>
    <w:rsid w:val="00C8243E"/>
    <w:rsid w:val="00C86F81"/>
    <w:rsid w:val="00C907D7"/>
    <w:rsid w:val="00C92338"/>
    <w:rsid w:val="00CA7C3A"/>
    <w:rsid w:val="00CC0F32"/>
    <w:rsid w:val="00CC2DB2"/>
    <w:rsid w:val="00CC5D54"/>
    <w:rsid w:val="00CD0307"/>
    <w:rsid w:val="00CD36D9"/>
    <w:rsid w:val="00CD3D1B"/>
    <w:rsid w:val="00CD6D1F"/>
    <w:rsid w:val="00CD7502"/>
    <w:rsid w:val="00CE62B3"/>
    <w:rsid w:val="00CF7DCA"/>
    <w:rsid w:val="00D10F05"/>
    <w:rsid w:val="00D211E9"/>
    <w:rsid w:val="00D2312F"/>
    <w:rsid w:val="00D23AB5"/>
    <w:rsid w:val="00D241CA"/>
    <w:rsid w:val="00D269C1"/>
    <w:rsid w:val="00D327AA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19B"/>
    <w:rsid w:val="00DA3AAD"/>
    <w:rsid w:val="00DA4314"/>
    <w:rsid w:val="00DB312B"/>
    <w:rsid w:val="00DC526F"/>
    <w:rsid w:val="00DC5654"/>
    <w:rsid w:val="00DC658F"/>
    <w:rsid w:val="00DE60CC"/>
    <w:rsid w:val="00E26B32"/>
    <w:rsid w:val="00E31444"/>
    <w:rsid w:val="00E377FE"/>
    <w:rsid w:val="00E407B6"/>
    <w:rsid w:val="00E41EF1"/>
    <w:rsid w:val="00E42942"/>
    <w:rsid w:val="00E453AD"/>
    <w:rsid w:val="00E468A6"/>
    <w:rsid w:val="00E506F6"/>
    <w:rsid w:val="00E51CC7"/>
    <w:rsid w:val="00E65D7A"/>
    <w:rsid w:val="00E71BDF"/>
    <w:rsid w:val="00E83CA7"/>
    <w:rsid w:val="00EC171D"/>
    <w:rsid w:val="00EC4E93"/>
    <w:rsid w:val="00ED487E"/>
    <w:rsid w:val="00ED7C77"/>
    <w:rsid w:val="00EE7A0D"/>
    <w:rsid w:val="00EF0D21"/>
    <w:rsid w:val="00EF64D5"/>
    <w:rsid w:val="00EF72E4"/>
    <w:rsid w:val="00F15AC1"/>
    <w:rsid w:val="00F17CE1"/>
    <w:rsid w:val="00F2115C"/>
    <w:rsid w:val="00F22ABA"/>
    <w:rsid w:val="00F35CFC"/>
    <w:rsid w:val="00F35EEB"/>
    <w:rsid w:val="00F36B12"/>
    <w:rsid w:val="00F417C3"/>
    <w:rsid w:val="00F46EE2"/>
    <w:rsid w:val="00F470BD"/>
    <w:rsid w:val="00F56022"/>
    <w:rsid w:val="00F60F9F"/>
    <w:rsid w:val="00F64F08"/>
    <w:rsid w:val="00F67BEB"/>
    <w:rsid w:val="00F734F5"/>
    <w:rsid w:val="00F74365"/>
    <w:rsid w:val="00F966B1"/>
    <w:rsid w:val="00F97D48"/>
    <w:rsid w:val="00FA0311"/>
    <w:rsid w:val="00FC42E5"/>
    <w:rsid w:val="00FD640F"/>
    <w:rsid w:val="00FD6B4C"/>
    <w:rsid w:val="00FD6BE9"/>
    <w:rsid w:val="00FE73E4"/>
    <w:rsid w:val="00FF4E99"/>
    <w:rsid w:val="597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5538"/>
  <w15:docId w15:val="{197B7E29-32C0-42B8-B9CC-DC16B85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52430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A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FAE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FAE"/>
    <w:rPr>
      <w:b/>
      <w:bCs/>
      <w:spacing w:val="2"/>
    </w:rPr>
  </w:style>
  <w:style w:type="paragraph" w:styleId="Revision">
    <w:name w:val="Revision"/>
    <w:hidden/>
    <w:uiPriority w:val="99"/>
    <w:semiHidden/>
    <w:rsid w:val="005944B1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21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3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2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47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50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5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3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29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2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37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0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45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53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8" Type="http://schemas.openxmlformats.org/officeDocument/2006/relationships/hyperlink" Target="https://www.dtf.vic.gov.au/ministerial-directions-and-instructions-public-construction-procurement/managing-probity-public-construction-procurement-direction-and-instruction-42" TargetMode="Externa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19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14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22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27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0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5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3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48" Type="http://schemas.openxmlformats.org/officeDocument/2006/relationships/hyperlink" Target="https://www.dtf.vic.gov.au/ministerial-directions-and-instructions-public-construction-procurement/supplier-performance-and-shared-reporting-regime-direction-and-instruction-82" TargetMode="External"/><Relationship Id="rId56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4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7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25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3" Type="http://schemas.openxmlformats.org/officeDocument/2006/relationships/hyperlink" Target="https://www.dtf.vic.gov.au/ministerial-directions-and-instructions-public-construction-procurement/managing-probity-public-construction-procurement-direction-and-instruction-42" TargetMode="External"/><Relationship Id="rId38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6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59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20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41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5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2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23" Type="http://schemas.openxmlformats.org/officeDocument/2006/relationships/hyperlink" Target="https://www.dtf.vic.gov.au/ministerial-directions-and-instructions-public-construction-procurement/supplier-performance-and-shared-reporting-regime-direction-and-instruction-82" TargetMode="External"/><Relationship Id="rId28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6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9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57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44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52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0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construction.procurement@dtf.vic.gov.au" TargetMode="External"/><Relationship Id="rId18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39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B93EF722774C843A1461FA27B630" ma:contentTypeVersion="4" ma:contentTypeDescription="Create a new document." ma:contentTypeScope="" ma:versionID="d137ad252fff079bb646b5fa5551d24b">
  <xsd:schema xmlns:xsd="http://www.w3.org/2001/XMLSchema" xmlns:xs="http://www.w3.org/2001/XMLSchema" xmlns:p="http://schemas.microsoft.com/office/2006/metadata/properties" xmlns:ns2="168cc8df-53c7-4054-a249-3a2662e64791" targetNamespace="http://schemas.microsoft.com/office/2006/metadata/properties" ma:root="true" ma:fieldsID="9b40a362501572f42addc5cbf31b8a22" ns2:_="">
    <xsd:import namespace="168cc8df-53c7-4054-a249-3a2662e64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c8df-53c7-4054-a249-3a2662e64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A126D-CD8D-4E63-BE14-09C36EE00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F373E-5F9E-4C51-AA28-F34F4ADAA7A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E2BFC59-4D55-4AC0-B730-B4482FCCFB9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68cc8df-53c7-4054-a249-3a2662e6479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B1C787-E17E-44FE-9114-A6D87AA3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c8df-53c7-4054-a249-3a2662e6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E3EDE5-14E4-4D45-8075-4BEB14BCB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2604</Words>
  <Characters>14843</Characters>
  <Application>Microsoft Office Word</Application>
  <DocSecurity>4</DocSecurity>
  <Lines>123</Lines>
  <Paragraphs>34</Paragraphs>
  <ScaleCrop>false</ScaleCrop>
  <Company>Department of Treasury and Finance</Company>
  <LinksUpToDate>false</LinksUpToDate>
  <CharactersWithSpaces>17413</CharactersWithSpaces>
  <SharedDoc>false</SharedDoc>
  <HLinks>
    <vt:vector size="306" baseType="variant">
      <vt:variant>
        <vt:i4>65542</vt:i4>
      </vt:variant>
      <vt:variant>
        <vt:i4>150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5832705</vt:i4>
      </vt:variant>
      <vt:variant>
        <vt:i4>138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https://www.dtf.vic.gov.au/ministerial-directions-and-instructions-public-construction-procurement/managing-probity-public-construction-procurement-direction-and-instruction-42</vt:lpwstr>
      </vt:variant>
      <vt:variant>
        <vt:lpwstr/>
      </vt:variant>
      <vt:variant>
        <vt:i4>4456471</vt:i4>
      </vt:variant>
      <vt:variant>
        <vt:i4>135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65542</vt:i4>
      </vt:variant>
      <vt:variant>
        <vt:i4>132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117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114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4325405</vt:i4>
      </vt:variant>
      <vt:variant>
        <vt:i4>111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5570640</vt:i4>
      </vt:variant>
      <vt:variant>
        <vt:i4>108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https://www.dtf.vic.gov.au/ministerial-directions-and-instructions-public-construction-procurement/supplier-performance-and-shared-reporting-regime-direction-and-instruction-82</vt:lpwstr>
      </vt:variant>
      <vt:variant>
        <vt:lpwstr/>
      </vt:variant>
      <vt:variant>
        <vt:i4>3276922</vt:i4>
      </vt:variant>
      <vt:variant>
        <vt:i4>105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2097212</vt:i4>
      </vt:variant>
      <vt:variant>
        <vt:i4>102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https://www.dtf.vic.gov.au/ministerial-directions-and-instructions-public-construction-procurement/tender-notices-direction-and-instruction-34</vt:lpwstr>
      </vt:variant>
      <vt:variant>
        <vt:lpwstr/>
      </vt:variant>
      <vt:variant>
        <vt:i4>8192036</vt:i4>
      </vt:variant>
      <vt:variant>
        <vt:i4>99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https://www.dtf.vic.gov.au/ministerial-directions-and-instructions-public-construction-procurement/forward-notices-direction-and-instruction-51</vt:lpwstr>
      </vt:variant>
      <vt:variant>
        <vt:lpwstr/>
      </vt:variant>
      <vt:variant>
        <vt:i4>7405611</vt:i4>
      </vt:variant>
      <vt:variant>
        <vt:i4>96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4456471</vt:i4>
      </vt:variant>
      <vt:variant>
        <vt:i4>93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7405611</vt:i4>
      </vt:variant>
      <vt:variant>
        <vt:i4>90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7405611</vt:i4>
      </vt:variant>
      <vt:variant>
        <vt:i4>87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4325405</vt:i4>
      </vt:variant>
      <vt:variant>
        <vt:i4>84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65542</vt:i4>
      </vt:variant>
      <vt:variant>
        <vt:i4>81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66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5832705</vt:i4>
      </vt:variant>
      <vt:variant>
        <vt:i4>63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https://www.dtf.vic.gov.au/ministerial-directions-and-instructions-public-construction-procurement/managing-probity-public-construction-procurement-direction-and-instruction-42</vt:lpwstr>
      </vt:variant>
      <vt:variant>
        <vt:lpwstr/>
      </vt:variant>
      <vt:variant>
        <vt:i4>4456471</vt:i4>
      </vt:variant>
      <vt:variant>
        <vt:i4>60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4325405</vt:i4>
      </vt:variant>
      <vt:variant>
        <vt:i4>57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65542</vt:i4>
      </vt:variant>
      <vt:variant>
        <vt:i4>54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51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39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36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5570640</vt:i4>
      </vt:variant>
      <vt:variant>
        <vt:i4>33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https://www.dtf.vic.gov.au/ministerial-directions-and-instructions-public-construction-procurement/supplier-performance-and-shared-reporting-regime-direction-and-instruction-82</vt:lpwstr>
      </vt:variant>
      <vt:variant>
        <vt:lpwstr/>
      </vt:variant>
      <vt:variant>
        <vt:i4>3276922</vt:i4>
      </vt:variant>
      <vt:variant>
        <vt:i4>30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3276922</vt:i4>
      </vt:variant>
      <vt:variant>
        <vt:i4>27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https://www.dtf.vic.gov.au/ministerial-directions-and-instructions-public-construction-procurement/tender-notices-direction-and-instruction-34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https://www.dtf.vic.gov.au/ministerial-directions-and-instructions-public-construction-procurement/forward-notices-direction-and-instruction-51</vt:lpwstr>
      </vt:variant>
      <vt:variant>
        <vt:lpwstr/>
      </vt:variant>
      <vt:variant>
        <vt:i4>7405611</vt:i4>
      </vt:variant>
      <vt:variant>
        <vt:i4>18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4456471</vt:i4>
      </vt:variant>
      <vt:variant>
        <vt:i4>15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7405611</vt:i4>
      </vt:variant>
      <vt:variant>
        <vt:i4>12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7405611</vt:i4>
      </vt:variant>
      <vt:variant>
        <vt:i4>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4325405</vt:i4>
      </vt:variant>
      <vt:variant>
        <vt:i4>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mailto:construction.procurement@dtf.vic.gov.au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https://www.dtf.vic.gov.au/public-construction-policy-and-resources/ministerial-directions-and-instructions-public-construction-procurement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Fact-Sheet-Thresholds-applying-to-construction-procurement-Quick-Guide-March 2020</dc:title>
  <dc:subject/>
  <dc:creator>Susan Gillett (DTF)</dc:creator>
  <cp:keywords/>
  <cp:lastModifiedBy>Rohit Musa (DTF)</cp:lastModifiedBy>
  <cp:revision>11</cp:revision>
  <cp:lastPrinted>2016-02-09T20:59:00Z</cp:lastPrinted>
  <dcterms:created xsi:type="dcterms:W3CDTF">2022-12-19T21:14:00Z</dcterms:created>
  <dcterms:modified xsi:type="dcterms:W3CDTF">2024-08-29T00:50:00Z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931b9c4a-e93b-4e61-9864-d01e35aebe30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2022-12-19T02:15:23Z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6d24d36e-0654-4041-a31f-21371de37ca7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0x0101008457B93EF722774C843A1461FA27B630</vt:lpwstr>
  </property>
</Properties>
</file>